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6" w:rsidRPr="003F305B" w:rsidRDefault="003223F6" w:rsidP="00FB057A">
      <w:pPr>
        <w:pStyle w:val="DateCPalignedroite"/>
        <w:ind w:right="33"/>
        <w:rPr>
          <w:lang w:val="fr-FR"/>
        </w:rPr>
      </w:pPr>
      <w:r w:rsidRPr="003F305B">
        <w:rPr>
          <w:lang w:val="fr-FR"/>
        </w:rPr>
        <w:t>12 juillet 2013</w:t>
      </w:r>
    </w:p>
    <w:p w:rsidR="003223F6" w:rsidRPr="00902807" w:rsidRDefault="003223F6" w:rsidP="00902807">
      <w:pPr>
        <w:pStyle w:val="Heading1"/>
        <w:rPr>
          <w:lang w:val="fr-FR"/>
        </w:rPr>
      </w:pPr>
    </w:p>
    <w:p w:rsidR="003223F6" w:rsidRPr="003F305B" w:rsidRDefault="003223F6" w:rsidP="00FB057A">
      <w:pPr>
        <w:pStyle w:val="Heading1"/>
        <w:rPr>
          <w:lang w:val="fr-FR"/>
        </w:rPr>
      </w:pPr>
      <w:bookmarkStart w:id="0" w:name="TITRE"/>
      <w:r w:rsidRPr="003F305B">
        <w:rPr>
          <w:lang w:val="fr-FR"/>
        </w:rPr>
        <w:t>Résultats commerciaux monde 1</w:t>
      </w:r>
      <w:r w:rsidRPr="003F305B">
        <w:rPr>
          <w:vertAlign w:val="superscript"/>
          <w:lang w:val="fr-FR"/>
        </w:rPr>
        <w:t>er</w:t>
      </w:r>
      <w:r w:rsidRPr="003F305B">
        <w:rPr>
          <w:lang w:val="fr-FR"/>
        </w:rPr>
        <w:t xml:space="preserve"> semestre 2013</w:t>
      </w:r>
    </w:p>
    <w:bookmarkEnd w:id="0"/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b/>
          <w:lang w:val="fr-FR" w:eastAsia="en-US"/>
        </w:rPr>
      </w:pPr>
      <w:r>
        <w:rPr>
          <w:b/>
          <w:lang w:val="fr-FR" w:eastAsia="en-US"/>
        </w:rPr>
        <w:t>En hausse de 4,3% au premier semestre, l</w:t>
      </w:r>
      <w:r w:rsidRPr="003F305B">
        <w:rPr>
          <w:b/>
          <w:lang w:val="fr-FR" w:eastAsia="en-US"/>
        </w:rPr>
        <w:t xml:space="preserve">es ventes du Groupe Renault à l’international enregistrent un </w:t>
      </w:r>
      <w:r>
        <w:rPr>
          <w:b/>
          <w:lang w:val="fr-FR" w:eastAsia="en-US"/>
        </w:rPr>
        <w:t>niveau</w:t>
      </w:r>
      <w:r w:rsidRPr="003F305B">
        <w:rPr>
          <w:b/>
          <w:lang w:val="fr-FR" w:eastAsia="en-US"/>
        </w:rPr>
        <w:t xml:space="preserve"> </w:t>
      </w:r>
      <w:r>
        <w:rPr>
          <w:b/>
          <w:lang w:val="fr-FR" w:eastAsia="en-US"/>
        </w:rPr>
        <w:t>record</w:t>
      </w:r>
      <w:r w:rsidRPr="003F305B">
        <w:rPr>
          <w:b/>
          <w:lang w:val="fr-FR" w:eastAsia="en-US"/>
        </w:rPr>
        <w:t xml:space="preserve">. Cette hausse ne suffit toutefois pas à compenser la baisse des ventes du Groupe en Europe </w:t>
      </w:r>
      <w:bookmarkStart w:id="1" w:name="_GoBack"/>
      <w:bookmarkEnd w:id="1"/>
      <w:r>
        <w:rPr>
          <w:b/>
          <w:lang w:val="fr-FR" w:eastAsia="en-US"/>
        </w:rPr>
        <w:t>(-7,3</w:t>
      </w:r>
      <w:r w:rsidRPr="003F305B">
        <w:rPr>
          <w:b/>
          <w:lang w:val="fr-FR" w:eastAsia="en-US"/>
        </w:rPr>
        <w:t>%</w:t>
      </w:r>
      <w:r>
        <w:rPr>
          <w:b/>
          <w:lang w:val="fr-FR" w:eastAsia="en-US"/>
        </w:rPr>
        <w:t>), dans un marché déprimé (-6,7</w:t>
      </w:r>
      <w:r w:rsidRPr="003F305B">
        <w:rPr>
          <w:b/>
          <w:lang w:val="fr-FR" w:eastAsia="en-US"/>
        </w:rPr>
        <w:t>%).</w:t>
      </w:r>
    </w:p>
    <w:p w:rsidR="003223F6" w:rsidRPr="003F305B" w:rsidRDefault="003223F6" w:rsidP="007C4905">
      <w:pPr>
        <w:rPr>
          <w:b/>
          <w:lang w:val="fr-FR" w:eastAsia="en-US"/>
        </w:rPr>
      </w:pPr>
      <w:r w:rsidRPr="003F305B">
        <w:rPr>
          <w:b/>
          <w:lang w:val="fr-FR" w:eastAsia="en-US"/>
        </w:rPr>
        <w:t xml:space="preserve">Avec 1,3 million de véhicules commercialisés dans le monde, pour moitié hors d’Europe, les ventes du Groupe baissent de </w:t>
      </w:r>
      <w:r>
        <w:rPr>
          <w:b/>
          <w:lang w:val="fr-FR" w:eastAsia="en-US"/>
        </w:rPr>
        <w:t>1,9</w:t>
      </w:r>
      <w:r w:rsidRPr="003F305B">
        <w:rPr>
          <w:b/>
          <w:lang w:val="fr-FR" w:eastAsia="en-US"/>
        </w:rPr>
        <w:t>%</w:t>
      </w:r>
      <w:r>
        <w:rPr>
          <w:b/>
          <w:lang w:val="fr-FR" w:eastAsia="en-US"/>
        </w:rPr>
        <w:t>, mais sont en hausse de 0,7 point sur le 2</w:t>
      </w:r>
      <w:r w:rsidRPr="003D7FED">
        <w:rPr>
          <w:b/>
          <w:vertAlign w:val="superscript"/>
          <w:lang w:val="fr-FR" w:eastAsia="en-US"/>
        </w:rPr>
        <w:t>nd</w:t>
      </w:r>
      <w:r>
        <w:rPr>
          <w:b/>
          <w:lang w:val="fr-FR" w:eastAsia="en-US"/>
        </w:rPr>
        <w:t xml:space="preserve"> trimestre isolé.</w:t>
      </w:r>
      <w:r w:rsidRPr="003F305B">
        <w:rPr>
          <w:b/>
          <w:lang w:val="fr-FR" w:eastAsia="en-US"/>
        </w:rPr>
        <w:t xml:space="preserve"> La part de marché mondial </w:t>
      </w:r>
      <w:r>
        <w:rPr>
          <w:b/>
          <w:lang w:val="fr-FR" w:eastAsia="en-US"/>
        </w:rPr>
        <w:t>est quasi stable à 3,2% (-0,1 point).</w:t>
      </w:r>
    </w:p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b/>
          <w:sz w:val="21"/>
          <w:szCs w:val="21"/>
          <w:lang w:val="fr-FR" w:eastAsia="en-US"/>
        </w:rPr>
      </w:pPr>
      <w:r w:rsidRPr="003F305B">
        <w:rPr>
          <w:b/>
          <w:sz w:val="21"/>
          <w:szCs w:val="21"/>
          <w:lang w:val="fr-FR" w:eastAsia="en-US"/>
        </w:rPr>
        <w:t>Faits marquants 1</w:t>
      </w:r>
      <w:r w:rsidRPr="003F305B">
        <w:rPr>
          <w:b/>
          <w:sz w:val="21"/>
          <w:szCs w:val="21"/>
          <w:vertAlign w:val="superscript"/>
          <w:lang w:val="fr-FR" w:eastAsia="en-US"/>
        </w:rPr>
        <w:t>er</w:t>
      </w:r>
      <w:r w:rsidRPr="003F305B">
        <w:rPr>
          <w:b/>
          <w:sz w:val="21"/>
          <w:szCs w:val="21"/>
          <w:lang w:val="fr-FR" w:eastAsia="en-US"/>
        </w:rPr>
        <w:t xml:space="preserve"> semestre 2013</w:t>
      </w:r>
    </w:p>
    <w:p w:rsidR="003223F6" w:rsidRPr="003F305B" w:rsidRDefault="003223F6" w:rsidP="005D21F0">
      <w:pPr>
        <w:rPr>
          <w:lang w:val="fr-FR" w:eastAsia="en-US"/>
        </w:rPr>
      </w:pPr>
      <w:r w:rsidRPr="003F305B">
        <w:rPr>
          <w:b/>
          <w:lang w:val="fr-FR" w:eastAsia="en-US"/>
        </w:rPr>
        <w:t>A l’international</w:t>
      </w:r>
      <w:r w:rsidRPr="003F305B">
        <w:rPr>
          <w:lang w:val="fr-FR" w:eastAsia="en-US"/>
        </w:rPr>
        <w:t> : le Groupe poursuit sa stratégie de c</w:t>
      </w:r>
      <w:r>
        <w:rPr>
          <w:lang w:val="fr-FR" w:eastAsia="en-US"/>
        </w:rPr>
        <w:t>roissance, avec un record de 646 274</w:t>
      </w:r>
      <w:r w:rsidRPr="003F305B">
        <w:rPr>
          <w:lang w:val="fr-FR" w:eastAsia="en-US"/>
        </w:rPr>
        <w:t xml:space="preserve"> </w:t>
      </w:r>
      <w:r>
        <w:rPr>
          <w:lang w:val="fr-FR" w:eastAsia="en-US"/>
        </w:rPr>
        <w:t>véhicules vendus (+4,3%), soit 49,6</w:t>
      </w:r>
      <w:r w:rsidRPr="003F305B">
        <w:rPr>
          <w:lang w:val="fr-FR" w:eastAsia="en-US"/>
        </w:rPr>
        <w:t>% des ventes mondiales</w:t>
      </w:r>
      <w:r>
        <w:rPr>
          <w:lang w:val="fr-FR" w:eastAsia="en-US"/>
        </w:rPr>
        <w:t xml:space="preserve"> (+2,9 points)</w:t>
      </w:r>
      <w:r w:rsidRPr="003F305B">
        <w:rPr>
          <w:lang w:val="fr-FR" w:eastAsia="en-US"/>
        </w:rPr>
        <w:t>. La Russie devient le 2</w:t>
      </w:r>
      <w:r w:rsidRPr="003F305B">
        <w:rPr>
          <w:vertAlign w:val="superscript"/>
          <w:lang w:val="fr-FR" w:eastAsia="en-US"/>
        </w:rPr>
        <w:t>ème</w:t>
      </w:r>
      <w:r w:rsidRPr="003F305B">
        <w:rPr>
          <w:lang w:val="fr-FR" w:eastAsia="en-US"/>
        </w:rPr>
        <w:t xml:space="preserve"> marché du Groupe devant le Brésil</w:t>
      </w:r>
      <w:r>
        <w:rPr>
          <w:lang w:val="fr-FR" w:eastAsia="en-US"/>
        </w:rPr>
        <w:t xml:space="preserve"> et la 2</w:t>
      </w:r>
      <w:r w:rsidRPr="004E72B6">
        <w:rPr>
          <w:vertAlign w:val="superscript"/>
          <w:lang w:val="fr-FR" w:eastAsia="en-US"/>
        </w:rPr>
        <w:t>ème</w:t>
      </w:r>
      <w:r>
        <w:rPr>
          <w:lang w:val="fr-FR" w:eastAsia="en-US"/>
        </w:rPr>
        <w:t xml:space="preserve"> marque du pays</w:t>
      </w:r>
      <w:r w:rsidRPr="003F305B">
        <w:rPr>
          <w:lang w:val="fr-FR" w:eastAsia="en-US"/>
        </w:rPr>
        <w:t>. En Inde, Renault réalise grâce à Duster une véritable</w:t>
      </w:r>
      <w:r>
        <w:rPr>
          <w:lang w:val="fr-FR" w:eastAsia="en-US"/>
        </w:rPr>
        <w:t xml:space="preserve"> percée et devient la 1</w:t>
      </w:r>
      <w:r w:rsidRPr="00673D14">
        <w:rPr>
          <w:vertAlign w:val="superscript"/>
          <w:lang w:val="fr-FR" w:eastAsia="en-US"/>
        </w:rPr>
        <w:t>ère</w:t>
      </w:r>
      <w:r>
        <w:rPr>
          <w:lang w:val="fr-FR" w:eastAsia="en-US"/>
        </w:rPr>
        <w:t xml:space="preserve"> marque européenne</w:t>
      </w:r>
      <w:r w:rsidRPr="003F305B">
        <w:rPr>
          <w:lang w:val="fr-FR" w:eastAsia="en-US"/>
        </w:rPr>
        <w:t>.</w:t>
      </w:r>
    </w:p>
    <w:p w:rsidR="003223F6" w:rsidRDefault="003223F6" w:rsidP="005D21F0">
      <w:pPr>
        <w:rPr>
          <w:lang w:val="fr-FR" w:eastAsia="en-US"/>
        </w:rPr>
      </w:pPr>
      <w:r w:rsidRPr="003F305B">
        <w:rPr>
          <w:b/>
          <w:lang w:val="fr-FR" w:eastAsia="en-US"/>
        </w:rPr>
        <w:t>En Europe</w:t>
      </w:r>
      <w:r w:rsidRPr="003F305B">
        <w:rPr>
          <w:lang w:val="fr-FR" w:eastAsia="en-US"/>
        </w:rPr>
        <w:t> : dans un marché toujours orienté à la baisse, le Groupe, qui poursuit sa stratégie de défense de</w:t>
      </w:r>
      <w:r>
        <w:rPr>
          <w:lang w:val="fr-FR" w:eastAsia="en-US"/>
        </w:rPr>
        <w:t xml:space="preserve"> ses</w:t>
      </w:r>
      <w:r w:rsidRPr="003F305B">
        <w:rPr>
          <w:lang w:val="fr-FR" w:eastAsia="en-US"/>
        </w:rPr>
        <w:t xml:space="preserve"> marge</w:t>
      </w:r>
      <w:r>
        <w:rPr>
          <w:lang w:val="fr-FR" w:eastAsia="en-US"/>
        </w:rPr>
        <w:t>s, vend 656 580</w:t>
      </w:r>
      <w:r w:rsidRPr="003F305B">
        <w:rPr>
          <w:lang w:val="fr-FR" w:eastAsia="en-US"/>
        </w:rPr>
        <w:t xml:space="preserve"> v</w:t>
      </w:r>
      <w:r>
        <w:rPr>
          <w:lang w:val="fr-FR" w:eastAsia="en-US"/>
        </w:rPr>
        <w:t>éhicules (-7,3</w:t>
      </w:r>
      <w:r w:rsidRPr="003F305B">
        <w:rPr>
          <w:lang w:val="fr-FR" w:eastAsia="en-US"/>
        </w:rPr>
        <w:t>%) et réalise une part de marché VP+VU de 9,</w:t>
      </w:r>
      <w:r>
        <w:rPr>
          <w:lang w:val="fr-FR" w:eastAsia="en-US"/>
        </w:rPr>
        <w:t>2</w:t>
      </w:r>
      <w:r w:rsidRPr="003F305B">
        <w:rPr>
          <w:lang w:val="fr-FR" w:eastAsia="en-US"/>
        </w:rPr>
        <w:t>% (-0,1 point). Le Groupe est impacté par la baisse</w:t>
      </w:r>
      <w:r>
        <w:rPr>
          <w:lang w:val="fr-FR" w:eastAsia="en-US"/>
        </w:rPr>
        <w:t>, supérieure à la moyenne, de ses 3 principaux marchés</w:t>
      </w:r>
      <w:r w:rsidRPr="003F305B">
        <w:rPr>
          <w:lang w:val="fr-FR" w:eastAsia="en-US"/>
        </w:rPr>
        <w:t>.</w:t>
      </w:r>
      <w:r>
        <w:rPr>
          <w:lang w:val="fr-FR" w:eastAsia="en-US"/>
        </w:rPr>
        <w:t xml:space="preserve"> En VU, la marque Renault est leader avec 14,2% du marché. </w:t>
      </w:r>
    </w:p>
    <w:p w:rsidR="003223F6" w:rsidRPr="00FD086C" w:rsidRDefault="003223F6" w:rsidP="005D21F0">
      <w:pPr>
        <w:rPr>
          <w:b/>
          <w:lang w:val="fr-FR" w:eastAsia="en-US"/>
        </w:rPr>
      </w:pPr>
      <w:r w:rsidRPr="00FD086C">
        <w:rPr>
          <w:b/>
          <w:lang w:val="fr-FR" w:eastAsia="en-US"/>
        </w:rPr>
        <w:t>Sur le marché belgo-luxembourgeois, le Groupe atteint avec ses deux marques une part de marché de 13,1% (VP+VU)</w:t>
      </w:r>
      <w:r>
        <w:rPr>
          <w:b/>
          <w:lang w:val="fr-FR" w:eastAsia="en-US"/>
        </w:rPr>
        <w:t>. La marque Renault occupe la deuxième place du marché VP (9,3%) et</w:t>
      </w:r>
      <w:r w:rsidRPr="00FD086C">
        <w:rPr>
          <w:b/>
          <w:lang w:val="fr-FR" w:eastAsia="en-US"/>
        </w:rPr>
        <w:t xml:space="preserve"> confirme son leadership en VU avec une part de marché de 16,4%.</w:t>
      </w:r>
      <w:r>
        <w:rPr>
          <w:b/>
          <w:lang w:val="fr-FR" w:eastAsia="en-US"/>
        </w:rPr>
        <w:t xml:space="preserve">  Grâce au renouvellement des gammes Sandero, Sandero Stepway et Logan, la marque Dacia occupe à fin juin la 14</w:t>
      </w:r>
      <w:r w:rsidRPr="00FD086C">
        <w:rPr>
          <w:b/>
          <w:vertAlign w:val="superscript"/>
          <w:lang w:val="fr-FR" w:eastAsia="en-US"/>
        </w:rPr>
        <w:t>ème</w:t>
      </w:r>
      <w:r>
        <w:rPr>
          <w:b/>
          <w:lang w:val="fr-FR" w:eastAsia="en-US"/>
        </w:rPr>
        <w:t xml:space="preserve"> place du marché belgo-luxembourgeois (VP) avec une part de marché de 3,3% (+1 pt. vs. 2012). Sur le marché des VUL, Dacia enregistre une part de marché de 1,8% avec un seul modèle, Dokker Van.</w:t>
      </w: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 xml:space="preserve">Les </w:t>
      </w:r>
      <w:r w:rsidRPr="003F305B">
        <w:rPr>
          <w:b/>
          <w:lang w:val="fr-FR" w:eastAsia="en-US"/>
        </w:rPr>
        <w:t>nouvelles gammes</w:t>
      </w:r>
      <w:r w:rsidRPr="003F305B">
        <w:rPr>
          <w:lang w:val="fr-FR" w:eastAsia="en-US"/>
        </w:rPr>
        <w:t xml:space="preserve"> Renault et Dacia rencontrent partout le succès</w:t>
      </w:r>
      <w:r>
        <w:rPr>
          <w:lang w:val="fr-FR" w:eastAsia="en-US"/>
        </w:rPr>
        <w:t xml:space="preserve"> attendu</w:t>
      </w:r>
      <w:r w:rsidRPr="003F305B">
        <w:rPr>
          <w:lang w:val="fr-FR" w:eastAsia="en-US"/>
        </w:rPr>
        <w:t>. Nouvelle Clio, lancée en Europe, en Turquie et au Maghreb, est en tête du marché français</w:t>
      </w:r>
      <w:r w:rsidRPr="00345E27">
        <w:rPr>
          <w:lang w:val="fr-FR" w:eastAsia="en-US"/>
        </w:rPr>
        <w:t>. Le lancement réussi de Captur en Europe</w:t>
      </w:r>
      <w:r>
        <w:rPr>
          <w:lang w:val="fr-FR" w:eastAsia="en-US"/>
        </w:rPr>
        <w:t xml:space="preserve"> confirme le succès du renouvellement</w:t>
      </w:r>
      <w:r w:rsidRPr="00345E27">
        <w:rPr>
          <w:lang w:val="fr-FR" w:eastAsia="en-US"/>
        </w:rPr>
        <w:t xml:space="preserve"> du design </w:t>
      </w:r>
      <w:r>
        <w:rPr>
          <w:lang w:val="fr-FR" w:eastAsia="en-US"/>
        </w:rPr>
        <w:t xml:space="preserve">de </w:t>
      </w:r>
      <w:r w:rsidRPr="00345E27">
        <w:rPr>
          <w:lang w:val="fr-FR" w:eastAsia="en-US"/>
        </w:rPr>
        <w:t>Renault.</w:t>
      </w:r>
      <w:r>
        <w:rPr>
          <w:lang w:val="fr-FR" w:eastAsia="en-US"/>
        </w:rPr>
        <w:t xml:space="preserve"> Nouvelle </w:t>
      </w:r>
      <w:r w:rsidRPr="003F305B">
        <w:rPr>
          <w:lang w:val="fr-FR" w:eastAsia="en-US"/>
        </w:rPr>
        <w:t xml:space="preserve">Sandero </w:t>
      </w:r>
      <w:r>
        <w:rPr>
          <w:lang w:val="fr-FR" w:eastAsia="en-US"/>
        </w:rPr>
        <w:t>progresse</w:t>
      </w:r>
      <w:r w:rsidRPr="003F305B">
        <w:rPr>
          <w:lang w:val="fr-FR" w:eastAsia="en-US"/>
        </w:rPr>
        <w:t xml:space="preserve"> sur l’ensemble de </w:t>
      </w:r>
      <w:r>
        <w:rPr>
          <w:lang w:val="fr-FR" w:eastAsia="en-US"/>
        </w:rPr>
        <w:t>ses</w:t>
      </w:r>
      <w:r w:rsidRPr="003F305B">
        <w:rPr>
          <w:lang w:val="fr-FR" w:eastAsia="en-US"/>
        </w:rPr>
        <w:t xml:space="preserve"> marchés</w:t>
      </w:r>
      <w:r>
        <w:rPr>
          <w:lang w:val="fr-FR" w:eastAsia="en-US"/>
        </w:rPr>
        <w:t xml:space="preserve">, notamment en </w:t>
      </w:r>
      <w:r w:rsidRPr="00074F08">
        <w:rPr>
          <w:lang w:val="fr-FR" w:eastAsia="en-US"/>
        </w:rPr>
        <w:t>Belgique (+99%),</w:t>
      </w:r>
      <w:r>
        <w:rPr>
          <w:lang w:val="fr-FR" w:eastAsia="en-US"/>
        </w:rPr>
        <w:t xml:space="preserve"> </w:t>
      </w:r>
      <w:r w:rsidRPr="00074F08">
        <w:rPr>
          <w:lang w:val="fr-FR" w:eastAsia="en-US"/>
        </w:rPr>
        <w:t xml:space="preserve">Espagne (+61%), </w:t>
      </w:r>
      <w:r w:rsidRPr="00C8703A">
        <w:rPr>
          <w:lang w:val="fr-FR" w:eastAsia="en-US"/>
        </w:rPr>
        <w:t>Turquie (+35%), France (+32%) et</w:t>
      </w:r>
      <w:r>
        <w:rPr>
          <w:lang w:val="fr-FR" w:eastAsia="en-US"/>
        </w:rPr>
        <w:t xml:space="preserve"> </w:t>
      </w:r>
      <w:r w:rsidRPr="00C8703A">
        <w:rPr>
          <w:lang w:val="fr-FR" w:eastAsia="en-US"/>
        </w:rPr>
        <w:t>Italie (+32%). Duster</w:t>
      </w:r>
      <w:r w:rsidRPr="003F305B">
        <w:rPr>
          <w:lang w:val="fr-FR" w:eastAsia="en-US"/>
        </w:rPr>
        <w:t xml:space="preserve"> pour sa part, avec </w:t>
      </w:r>
      <w:r>
        <w:rPr>
          <w:lang w:val="fr-FR" w:eastAsia="en-US"/>
        </w:rPr>
        <w:t>188 868 véhicules vendus (+50%), constitue</w:t>
      </w:r>
      <w:r w:rsidRPr="003F305B">
        <w:rPr>
          <w:lang w:val="fr-FR" w:eastAsia="en-US"/>
        </w:rPr>
        <w:t xml:space="preserve"> le fer de lance de la croissance du Groupe à l’international.</w:t>
      </w:r>
    </w:p>
    <w:p w:rsidR="003223F6" w:rsidRPr="003F305B" w:rsidRDefault="003223F6" w:rsidP="00F253A3">
      <w:pPr>
        <w:snapToGrid/>
        <w:spacing w:before="0" w:line="240" w:lineRule="auto"/>
        <w:ind w:left="0"/>
        <w:jc w:val="left"/>
        <w:rPr>
          <w:lang w:val="fr-FR" w:eastAsia="en-US"/>
        </w:rPr>
      </w:pP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>« </w:t>
      </w:r>
      <w:r w:rsidRPr="008C7FE6">
        <w:rPr>
          <w:i/>
          <w:lang w:val="fr-FR" w:eastAsia="en-US"/>
        </w:rPr>
        <w:t xml:space="preserve">Le Groupe Renault démontre une nouvelle fois la pertinence de sa stratégie d’internationalisation, qui permet d’amortir pour une bonne part la baisse </w:t>
      </w:r>
      <w:r>
        <w:rPr>
          <w:i/>
          <w:lang w:val="fr-FR" w:eastAsia="en-US"/>
        </w:rPr>
        <w:t>du marché</w:t>
      </w:r>
      <w:r w:rsidRPr="008C7FE6">
        <w:rPr>
          <w:i/>
          <w:lang w:val="fr-FR" w:eastAsia="en-US"/>
        </w:rPr>
        <w:t xml:space="preserve"> </w:t>
      </w:r>
      <w:r>
        <w:rPr>
          <w:i/>
          <w:lang w:val="fr-FR" w:eastAsia="en-US"/>
        </w:rPr>
        <w:t>européen</w:t>
      </w:r>
      <w:r w:rsidRPr="008C7FE6">
        <w:rPr>
          <w:i/>
          <w:lang w:val="fr-FR" w:eastAsia="en-US"/>
        </w:rPr>
        <w:t xml:space="preserve">. </w:t>
      </w:r>
      <w:r>
        <w:rPr>
          <w:i/>
          <w:lang w:val="fr-FR" w:eastAsia="en-US"/>
        </w:rPr>
        <w:t>A l’international, n</w:t>
      </w:r>
      <w:r w:rsidRPr="008C7FE6">
        <w:rPr>
          <w:i/>
          <w:lang w:val="fr-FR" w:eastAsia="en-US"/>
        </w:rPr>
        <w:t xml:space="preserve">ous engrangeons de solides succès, comme en Russie et en Inde. </w:t>
      </w:r>
      <w:r>
        <w:rPr>
          <w:i/>
          <w:lang w:val="fr-FR" w:eastAsia="en-US"/>
        </w:rPr>
        <w:t>En Europe, l</w:t>
      </w:r>
      <w:r w:rsidRPr="008C7FE6">
        <w:rPr>
          <w:i/>
          <w:lang w:val="fr-FR" w:eastAsia="en-US"/>
        </w:rPr>
        <w:t xml:space="preserve">e renouveau de nos gammes produits Renault et Dacia nous permet de poursuivre la défense de nos marges et de </w:t>
      </w:r>
      <w:r>
        <w:rPr>
          <w:i/>
          <w:lang w:val="fr-FR" w:eastAsia="en-US"/>
        </w:rPr>
        <w:t xml:space="preserve">nos </w:t>
      </w:r>
      <w:r w:rsidRPr="008C7FE6">
        <w:rPr>
          <w:i/>
          <w:lang w:val="fr-FR" w:eastAsia="en-US"/>
        </w:rPr>
        <w:t>parts de marché</w:t>
      </w:r>
      <w:r>
        <w:rPr>
          <w:lang w:val="fr-FR" w:eastAsia="en-US"/>
        </w:rPr>
        <w:t> </w:t>
      </w:r>
      <w:r w:rsidRPr="003F305B">
        <w:rPr>
          <w:lang w:val="fr-FR" w:eastAsia="en-US"/>
        </w:rPr>
        <w:t xml:space="preserve">» souligne </w:t>
      </w:r>
      <w:r w:rsidRPr="003F305B">
        <w:rPr>
          <w:b/>
          <w:lang w:val="fr-FR" w:eastAsia="en-US"/>
        </w:rPr>
        <w:t>Jérôme Stoll</w:t>
      </w:r>
      <w:r w:rsidRPr="003F305B">
        <w:rPr>
          <w:lang w:val="fr-FR" w:eastAsia="en-US"/>
        </w:rPr>
        <w:t>, Directeur Commercial Groupe et Véhicule</w:t>
      </w:r>
      <w:r>
        <w:rPr>
          <w:lang w:val="fr-FR" w:eastAsia="en-US"/>
        </w:rPr>
        <w:t>s</w:t>
      </w:r>
      <w:r w:rsidRPr="003F305B">
        <w:rPr>
          <w:lang w:val="fr-FR" w:eastAsia="en-US"/>
        </w:rPr>
        <w:t xml:space="preserve"> Utilitaire</w:t>
      </w:r>
      <w:r>
        <w:rPr>
          <w:lang w:val="fr-FR" w:eastAsia="en-US"/>
        </w:rPr>
        <w:t>s</w:t>
      </w:r>
      <w:r w:rsidRPr="003F305B">
        <w:rPr>
          <w:lang w:val="fr-FR" w:eastAsia="en-US"/>
        </w:rPr>
        <w:t>.</w:t>
      </w:r>
    </w:p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b/>
          <w:sz w:val="21"/>
          <w:szCs w:val="21"/>
          <w:lang w:val="fr-FR" w:eastAsia="en-US"/>
        </w:rPr>
      </w:pPr>
      <w:r w:rsidRPr="003F305B">
        <w:rPr>
          <w:b/>
          <w:sz w:val="21"/>
          <w:szCs w:val="21"/>
          <w:lang w:val="fr-FR" w:eastAsia="en-US"/>
        </w:rPr>
        <w:t>Ventes par marques</w:t>
      </w:r>
    </w:p>
    <w:p w:rsidR="003223F6" w:rsidRPr="003F305B" w:rsidRDefault="003223F6" w:rsidP="000F2078">
      <w:pPr>
        <w:rPr>
          <w:lang w:val="fr-FR" w:eastAsia="en-US"/>
        </w:rPr>
      </w:pPr>
      <w:r w:rsidRPr="003F305B">
        <w:rPr>
          <w:lang w:val="fr-FR" w:eastAsia="en-US"/>
        </w:rPr>
        <w:t xml:space="preserve">Les ventes de la marque </w:t>
      </w:r>
      <w:r w:rsidRPr="003F305B">
        <w:rPr>
          <w:b/>
          <w:lang w:val="fr-FR" w:eastAsia="en-US"/>
        </w:rPr>
        <w:t>Renault</w:t>
      </w:r>
      <w:r>
        <w:rPr>
          <w:lang w:val="fr-FR" w:eastAsia="en-US"/>
        </w:rPr>
        <w:t xml:space="preserve"> baissent de 4,6</w:t>
      </w:r>
      <w:r w:rsidRPr="003F305B">
        <w:rPr>
          <w:lang w:val="fr-FR" w:eastAsia="en-US"/>
        </w:rPr>
        <w:t>%, la hau</w:t>
      </w:r>
      <w:r>
        <w:rPr>
          <w:lang w:val="fr-FR" w:eastAsia="en-US"/>
        </w:rPr>
        <w:t>sse des ventes hors Europe (+4,3</w:t>
      </w:r>
      <w:r w:rsidRPr="003F305B">
        <w:rPr>
          <w:lang w:val="fr-FR" w:eastAsia="en-US"/>
        </w:rPr>
        <w:t>%) ne parvenant pas à compenser la ba</w:t>
      </w:r>
      <w:r>
        <w:rPr>
          <w:lang w:val="fr-FR" w:eastAsia="en-US"/>
        </w:rPr>
        <w:t>isse des ventes en Europe (-12,5%). Avec 1 062 235</w:t>
      </w:r>
      <w:r w:rsidRPr="003F305B">
        <w:rPr>
          <w:lang w:val="fr-FR" w:eastAsia="en-US"/>
        </w:rPr>
        <w:t xml:space="preserve"> véhicules v</w:t>
      </w:r>
      <w:r>
        <w:rPr>
          <w:lang w:val="fr-FR" w:eastAsia="en-US"/>
        </w:rPr>
        <w:t>endus, la marque représente 81,5</w:t>
      </w:r>
      <w:r w:rsidRPr="003F305B">
        <w:rPr>
          <w:lang w:val="fr-FR" w:eastAsia="en-US"/>
        </w:rPr>
        <w:t>% des ventes du Groupe.</w:t>
      </w: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 xml:space="preserve">Les ventes de la marque </w:t>
      </w:r>
      <w:r w:rsidRPr="003F305B">
        <w:rPr>
          <w:b/>
          <w:lang w:val="fr-FR" w:eastAsia="en-US"/>
        </w:rPr>
        <w:t>Dacia</w:t>
      </w:r>
      <w:r w:rsidRPr="003F305B">
        <w:rPr>
          <w:lang w:val="fr-FR" w:eastAsia="en-US"/>
        </w:rPr>
        <w:t xml:space="preserve"> sont en hausse</w:t>
      </w:r>
      <w:r>
        <w:rPr>
          <w:lang w:val="fr-FR" w:eastAsia="en-US"/>
        </w:rPr>
        <w:t xml:space="preserve"> de 16,5</w:t>
      </w:r>
      <w:r w:rsidRPr="00D74777">
        <w:rPr>
          <w:lang w:val="fr-FR" w:eastAsia="en-US"/>
        </w:rPr>
        <w:t>%</w:t>
      </w:r>
      <w:r>
        <w:rPr>
          <w:lang w:val="fr-FR" w:eastAsia="en-US"/>
        </w:rPr>
        <w:t xml:space="preserve"> </w:t>
      </w:r>
      <w:r w:rsidRPr="00D74777">
        <w:rPr>
          <w:lang w:val="fr-FR" w:eastAsia="en-US"/>
        </w:rPr>
        <w:t xml:space="preserve">et progressent sur </w:t>
      </w:r>
      <w:r w:rsidRPr="003F305B">
        <w:rPr>
          <w:lang w:val="fr-FR" w:eastAsia="en-US"/>
        </w:rPr>
        <w:t xml:space="preserve">l’ensemble de ses régions de commercialisation. La marque est portée par le succès de </w:t>
      </w:r>
      <w:r w:rsidRPr="00280A22">
        <w:rPr>
          <w:lang w:val="fr-FR" w:eastAsia="en-US"/>
        </w:rPr>
        <w:t>Duster</w:t>
      </w:r>
      <w:r>
        <w:rPr>
          <w:lang w:val="fr-FR" w:eastAsia="en-US"/>
        </w:rPr>
        <w:t>, la montée en puissance</w:t>
      </w:r>
      <w:r w:rsidRPr="00280A22">
        <w:rPr>
          <w:lang w:val="fr-FR" w:eastAsia="en-US"/>
        </w:rPr>
        <w:t xml:space="preserve"> de Lodgy et de Dokker et le renouvellement de Sandero et de Logan. A</w:t>
      </w:r>
      <w:r>
        <w:rPr>
          <w:lang w:val="fr-FR" w:eastAsia="en-US"/>
        </w:rPr>
        <w:t>vec 211 419</w:t>
      </w:r>
      <w:r w:rsidRPr="003F305B">
        <w:rPr>
          <w:lang w:val="fr-FR" w:eastAsia="en-US"/>
        </w:rPr>
        <w:t xml:space="preserve"> véhicules v</w:t>
      </w:r>
      <w:r>
        <w:rPr>
          <w:lang w:val="fr-FR" w:eastAsia="en-US"/>
        </w:rPr>
        <w:t>endus, la marque représente 16,5</w:t>
      </w:r>
      <w:r w:rsidRPr="003F305B">
        <w:rPr>
          <w:lang w:val="fr-FR" w:eastAsia="en-US"/>
        </w:rPr>
        <w:t>% des ventes du Groupe.</w:t>
      </w: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 xml:space="preserve">La marque </w:t>
      </w:r>
      <w:r w:rsidRPr="003F305B">
        <w:rPr>
          <w:b/>
          <w:lang w:val="fr-FR" w:eastAsia="en-US"/>
        </w:rPr>
        <w:t>Renault Samsung Motors</w:t>
      </w:r>
      <w:r w:rsidRPr="003F305B">
        <w:rPr>
          <w:lang w:val="fr-FR" w:eastAsia="en-US"/>
        </w:rPr>
        <w:t xml:space="preserve"> enregistre une baisse de 1</w:t>
      </w:r>
      <w:r>
        <w:rPr>
          <w:lang w:val="fr-FR" w:eastAsia="en-US"/>
        </w:rPr>
        <w:t>2,4</w:t>
      </w:r>
      <w:r w:rsidRPr="003F305B">
        <w:rPr>
          <w:lang w:val="fr-FR" w:eastAsia="en-US"/>
        </w:rPr>
        <w:t>% de ses ventes, dans un contexte de restructuration de son offre produit et de son réseau commercial. Avec 29 </w:t>
      </w:r>
      <w:r>
        <w:rPr>
          <w:lang w:val="fr-FR" w:eastAsia="en-US"/>
        </w:rPr>
        <w:t>136</w:t>
      </w:r>
      <w:r w:rsidRPr="003F305B">
        <w:rPr>
          <w:lang w:val="fr-FR" w:eastAsia="en-US"/>
        </w:rPr>
        <w:t xml:space="preserve"> véhicules </w:t>
      </w:r>
      <w:r>
        <w:rPr>
          <w:lang w:val="fr-FR" w:eastAsia="en-US"/>
        </w:rPr>
        <w:t>vendus, la marque représente 2,2</w:t>
      </w:r>
      <w:r w:rsidRPr="003F305B">
        <w:rPr>
          <w:lang w:val="fr-FR" w:eastAsia="en-US"/>
        </w:rPr>
        <w:t>% des ventes du Groupe.</w:t>
      </w:r>
    </w:p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b/>
          <w:sz w:val="21"/>
          <w:szCs w:val="21"/>
          <w:lang w:val="fr-FR" w:eastAsia="en-US"/>
        </w:rPr>
      </w:pPr>
      <w:r w:rsidRPr="003F305B">
        <w:rPr>
          <w:b/>
          <w:sz w:val="21"/>
          <w:szCs w:val="21"/>
          <w:lang w:val="fr-FR" w:eastAsia="en-US"/>
        </w:rPr>
        <w:t xml:space="preserve">En Europe : un marché </w:t>
      </w:r>
      <w:r>
        <w:rPr>
          <w:b/>
          <w:sz w:val="21"/>
          <w:szCs w:val="21"/>
          <w:lang w:val="fr-FR" w:eastAsia="en-US"/>
        </w:rPr>
        <w:t>toujours</w:t>
      </w:r>
      <w:r w:rsidRPr="003F305B">
        <w:rPr>
          <w:b/>
          <w:sz w:val="21"/>
          <w:szCs w:val="21"/>
          <w:lang w:val="fr-FR" w:eastAsia="en-US"/>
        </w:rPr>
        <w:t xml:space="preserve"> en crise et un mix marché défavorable</w:t>
      </w:r>
    </w:p>
    <w:p w:rsidR="003223F6" w:rsidRPr="003F305B" w:rsidRDefault="003223F6" w:rsidP="007C4905">
      <w:pPr>
        <w:rPr>
          <w:rFonts w:cs="Arial"/>
          <w:szCs w:val="20"/>
          <w:lang w:val="fr-FR" w:eastAsia="en-US"/>
        </w:rPr>
      </w:pPr>
      <w:r w:rsidRPr="003F305B">
        <w:rPr>
          <w:rFonts w:cs="Arial"/>
          <w:szCs w:val="20"/>
          <w:lang w:val="fr-FR" w:eastAsia="en-US"/>
        </w:rPr>
        <w:t xml:space="preserve">Dans un marché </w:t>
      </w:r>
      <w:r>
        <w:rPr>
          <w:rFonts w:cs="Arial"/>
          <w:szCs w:val="20"/>
          <w:lang w:val="fr-FR" w:eastAsia="en-US"/>
        </w:rPr>
        <w:t>en baisse de 6,7</w:t>
      </w:r>
      <w:r w:rsidRPr="003F305B">
        <w:rPr>
          <w:rFonts w:cs="Arial"/>
          <w:szCs w:val="20"/>
          <w:lang w:val="fr-FR" w:eastAsia="en-US"/>
        </w:rPr>
        <w:t xml:space="preserve">%, le Groupe </w:t>
      </w:r>
      <w:r>
        <w:rPr>
          <w:rFonts w:cs="Arial"/>
          <w:szCs w:val="20"/>
          <w:lang w:val="fr-FR" w:eastAsia="en-US"/>
        </w:rPr>
        <w:t>a vendu 656 516</w:t>
      </w:r>
      <w:r w:rsidRPr="003F305B">
        <w:rPr>
          <w:rFonts w:cs="Arial"/>
          <w:szCs w:val="20"/>
          <w:lang w:val="fr-FR" w:eastAsia="en-US"/>
        </w:rPr>
        <w:t xml:space="preserve"> véhicules (-</w:t>
      </w:r>
      <w:r>
        <w:rPr>
          <w:rFonts w:cs="Arial"/>
          <w:szCs w:val="20"/>
          <w:lang w:val="fr-FR" w:eastAsia="en-US"/>
        </w:rPr>
        <w:t>7,3</w:t>
      </w:r>
      <w:r w:rsidRPr="003F305B">
        <w:rPr>
          <w:rFonts w:cs="Arial"/>
          <w:szCs w:val="20"/>
          <w:lang w:val="fr-FR" w:eastAsia="en-US"/>
        </w:rPr>
        <w:t>%). Sa part de marché VP+VU s</w:t>
      </w:r>
      <w:r>
        <w:rPr>
          <w:rFonts w:cs="Arial"/>
          <w:szCs w:val="20"/>
          <w:lang w:val="fr-FR" w:eastAsia="en-US"/>
        </w:rPr>
        <w:t>’établit à 9,2</w:t>
      </w:r>
      <w:r w:rsidRPr="003F305B">
        <w:rPr>
          <w:rFonts w:cs="Arial"/>
          <w:szCs w:val="20"/>
          <w:lang w:val="fr-FR" w:eastAsia="en-US"/>
        </w:rPr>
        <w:t>%, en baisse de 0,1 point. Ceci en raison :</w:t>
      </w:r>
    </w:p>
    <w:p w:rsidR="003223F6" w:rsidRPr="003F305B" w:rsidRDefault="003223F6" w:rsidP="00280A22">
      <w:pPr>
        <w:pStyle w:val="ListParagraph"/>
        <w:numPr>
          <w:ilvl w:val="0"/>
          <w:numId w:val="9"/>
          <w:numberingChange w:id="2" w:author="Unknown" w:date="2013-07-11T16:43:00Z" w:original="-"/>
        </w:numPr>
        <w:spacing w:before="60" w:line="360" w:lineRule="auto"/>
        <w:ind w:left="1497" w:hanging="357"/>
        <w:rPr>
          <w:rFonts w:ascii="Arial" w:hAnsi="Arial" w:cs="Arial"/>
          <w:sz w:val="20"/>
          <w:szCs w:val="20"/>
        </w:rPr>
      </w:pPr>
      <w:r w:rsidRPr="003F305B">
        <w:rPr>
          <w:rFonts w:ascii="Arial" w:hAnsi="Arial" w:cs="Arial"/>
          <w:sz w:val="20"/>
          <w:szCs w:val="20"/>
        </w:rPr>
        <w:t xml:space="preserve">d’un repli des 3 premiers marchés du Groupe </w:t>
      </w:r>
      <w:r>
        <w:rPr>
          <w:rFonts w:ascii="Arial" w:hAnsi="Arial" w:cs="Arial"/>
          <w:sz w:val="20"/>
          <w:szCs w:val="20"/>
        </w:rPr>
        <w:t xml:space="preserve">en Europe </w:t>
      </w:r>
      <w:r w:rsidRPr="003F305B">
        <w:rPr>
          <w:rFonts w:ascii="Arial" w:hAnsi="Arial" w:cs="Arial"/>
          <w:sz w:val="20"/>
          <w:szCs w:val="20"/>
        </w:rPr>
        <w:t>(France, Allemagne et Italie) supérieur à la moyenne européenne,</w:t>
      </w:r>
    </w:p>
    <w:p w:rsidR="003223F6" w:rsidRPr="003F305B" w:rsidRDefault="003223F6" w:rsidP="00280A22">
      <w:pPr>
        <w:pStyle w:val="ListParagraph"/>
        <w:numPr>
          <w:ilvl w:val="0"/>
          <w:numId w:val="9"/>
          <w:numberingChange w:id="3" w:author="Unknown" w:date="2013-07-11T16:43:00Z" w:original="-"/>
        </w:numPr>
        <w:spacing w:line="360" w:lineRule="auto"/>
        <w:ind w:left="1497" w:hanging="357"/>
        <w:rPr>
          <w:rFonts w:ascii="Arial" w:hAnsi="Arial" w:cs="Arial"/>
          <w:sz w:val="20"/>
          <w:szCs w:val="20"/>
        </w:rPr>
      </w:pPr>
      <w:r w:rsidRPr="003F305B">
        <w:rPr>
          <w:rFonts w:ascii="Arial" w:hAnsi="Arial" w:cs="Arial"/>
          <w:sz w:val="20"/>
          <w:szCs w:val="20"/>
        </w:rPr>
        <w:t>de la poursuite de la stratégie de défense des marges, passant par une politique vertueuse de prix.</w:t>
      </w: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rFonts w:cs="Arial"/>
          <w:szCs w:val="20"/>
          <w:lang w:val="fr-FR" w:eastAsia="en-US"/>
        </w:rPr>
        <w:t xml:space="preserve">La marque </w:t>
      </w:r>
      <w:r w:rsidRPr="003F305B">
        <w:rPr>
          <w:rFonts w:cs="Arial"/>
          <w:b/>
          <w:szCs w:val="20"/>
          <w:lang w:val="fr-FR" w:eastAsia="en-US"/>
        </w:rPr>
        <w:t>Renault</w:t>
      </w:r>
      <w:r w:rsidRPr="003F305B">
        <w:rPr>
          <w:rFonts w:cs="Arial"/>
          <w:szCs w:val="20"/>
          <w:lang w:val="fr-FR" w:eastAsia="en-US"/>
        </w:rPr>
        <w:t xml:space="preserve"> </w:t>
      </w:r>
      <w:r>
        <w:rPr>
          <w:rFonts w:cs="Arial"/>
          <w:szCs w:val="20"/>
          <w:lang w:val="fr-FR" w:eastAsia="en-US"/>
        </w:rPr>
        <w:t>reste</w:t>
      </w:r>
      <w:r w:rsidRPr="003F305B">
        <w:rPr>
          <w:rFonts w:cs="Arial"/>
          <w:szCs w:val="20"/>
          <w:lang w:val="fr-FR" w:eastAsia="en-US"/>
        </w:rPr>
        <w:t xml:space="preserve"> </w:t>
      </w:r>
      <w:r>
        <w:rPr>
          <w:rFonts w:cs="Arial"/>
          <w:szCs w:val="20"/>
          <w:lang w:val="fr-FR" w:eastAsia="en-US"/>
        </w:rPr>
        <w:t xml:space="preserve">à </w:t>
      </w:r>
      <w:r w:rsidRPr="003F305B">
        <w:rPr>
          <w:rFonts w:cs="Arial"/>
          <w:szCs w:val="20"/>
          <w:lang w:val="fr-FR" w:eastAsia="en-US"/>
        </w:rPr>
        <w:t>la 3</w:t>
      </w:r>
      <w:r w:rsidRPr="003F305B">
        <w:rPr>
          <w:rFonts w:cs="Arial"/>
          <w:szCs w:val="20"/>
          <w:vertAlign w:val="superscript"/>
          <w:lang w:val="fr-FR" w:eastAsia="en-US"/>
        </w:rPr>
        <w:t>ème</w:t>
      </w:r>
      <w:r w:rsidRPr="003F305B">
        <w:rPr>
          <w:rFonts w:cs="Arial"/>
          <w:szCs w:val="20"/>
          <w:lang w:val="fr-FR" w:eastAsia="en-US"/>
        </w:rPr>
        <w:t xml:space="preserve"> place du marché européen VP+VU,</w:t>
      </w:r>
      <w:r>
        <w:rPr>
          <w:lang w:val="fr-FR" w:eastAsia="en-US"/>
        </w:rPr>
        <w:t xml:space="preserve"> avec une pénétration de 7,2</w:t>
      </w:r>
      <w:r w:rsidRPr="003F305B">
        <w:rPr>
          <w:lang w:val="fr-FR" w:eastAsia="en-US"/>
        </w:rPr>
        <w:t>% (-0,5 point). En VU, la marque entame sa 16</w:t>
      </w:r>
      <w:r w:rsidRPr="003F305B">
        <w:rPr>
          <w:vertAlign w:val="superscript"/>
          <w:lang w:val="fr-FR" w:eastAsia="en-US"/>
        </w:rPr>
        <w:t>ème</w:t>
      </w:r>
      <w:r w:rsidRPr="003F305B">
        <w:rPr>
          <w:lang w:val="fr-FR" w:eastAsia="en-US"/>
        </w:rPr>
        <w:t xml:space="preserve"> année consécutive en tête du marc</w:t>
      </w:r>
      <w:r>
        <w:rPr>
          <w:lang w:val="fr-FR" w:eastAsia="en-US"/>
        </w:rPr>
        <w:t>hé, avec une pénétration de 14,2</w:t>
      </w:r>
      <w:r w:rsidRPr="003F305B">
        <w:rPr>
          <w:lang w:val="fr-FR" w:eastAsia="en-US"/>
        </w:rPr>
        <w:t xml:space="preserve">% (-2,2 points). </w:t>
      </w: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 xml:space="preserve">La marque </w:t>
      </w:r>
      <w:r w:rsidRPr="003F305B">
        <w:rPr>
          <w:b/>
          <w:lang w:val="fr-FR" w:eastAsia="en-US"/>
        </w:rPr>
        <w:t>Dacia</w:t>
      </w:r>
      <w:r w:rsidRPr="003F305B">
        <w:rPr>
          <w:lang w:val="fr-FR" w:eastAsia="en-US"/>
        </w:rPr>
        <w:t xml:space="preserve">, forte du renouvellement de sa gamme et de l’adéquation de son offre à un environnement économique </w:t>
      </w:r>
      <w:r>
        <w:rPr>
          <w:lang w:val="fr-FR" w:eastAsia="en-US"/>
        </w:rPr>
        <w:t>européen difficile, progresse de 0,4 point à 2,0% du marché VP+VU. Elle réalise ainsi la meilleure progression en parts de marché et en volumes toutes marques confondues.</w:t>
      </w:r>
    </w:p>
    <w:p w:rsidR="003223F6" w:rsidRDefault="003223F6" w:rsidP="00823A78">
      <w:pPr>
        <w:rPr>
          <w:lang w:val="fr-FR" w:eastAsia="en-US"/>
        </w:rPr>
      </w:pPr>
      <w:r w:rsidRPr="003F305B">
        <w:rPr>
          <w:lang w:val="fr-FR" w:eastAsia="en-US"/>
        </w:rPr>
        <w:t xml:space="preserve">Sur le marché naissant du </w:t>
      </w:r>
      <w:r w:rsidRPr="003F305B">
        <w:rPr>
          <w:b/>
          <w:lang w:val="fr-FR" w:eastAsia="en-US"/>
        </w:rPr>
        <w:t>véhicule électrique</w:t>
      </w:r>
      <w:r w:rsidRPr="003F305B">
        <w:rPr>
          <w:lang w:val="fr-FR" w:eastAsia="en-US"/>
        </w:rPr>
        <w:t>, la marque Renault</w:t>
      </w:r>
      <w:r>
        <w:rPr>
          <w:lang w:val="fr-FR" w:eastAsia="en-US"/>
        </w:rPr>
        <w:t>, forte de sa</w:t>
      </w:r>
      <w:r w:rsidRPr="003F305B">
        <w:rPr>
          <w:lang w:val="fr-FR" w:eastAsia="en-US"/>
        </w:rPr>
        <w:t xml:space="preserve"> gamme de 4 véhicules Zéro Emission</w:t>
      </w:r>
      <w:r>
        <w:rPr>
          <w:lang w:val="fr-FR" w:eastAsia="en-US"/>
        </w:rPr>
        <w:t>,</w:t>
      </w:r>
      <w:r w:rsidRPr="003F305B">
        <w:rPr>
          <w:lang w:val="fr-FR" w:eastAsia="en-US"/>
        </w:rPr>
        <w:t xml:space="preserve"> détient </w:t>
      </w:r>
      <w:r>
        <w:rPr>
          <w:lang w:val="fr-FR" w:eastAsia="en-US"/>
        </w:rPr>
        <w:t>le leadership du marché européen avec 48,9% du marché VP+VU</w:t>
      </w:r>
      <w:r w:rsidRPr="003F305B">
        <w:rPr>
          <w:lang w:val="fr-FR" w:eastAsia="en-US"/>
        </w:rPr>
        <w:t xml:space="preserve">. Renault ZOE est à fin juin le véhicule électrique le plus vendu en Europe avec </w:t>
      </w:r>
      <w:r>
        <w:rPr>
          <w:lang w:val="fr-FR" w:eastAsia="en-US"/>
        </w:rPr>
        <w:t>4 770 immatriculations et 29,5</w:t>
      </w:r>
      <w:r w:rsidRPr="003F305B">
        <w:rPr>
          <w:lang w:val="fr-FR" w:eastAsia="en-US"/>
        </w:rPr>
        <w:t>% du marché</w:t>
      </w:r>
      <w:r>
        <w:rPr>
          <w:lang w:val="fr-FR" w:eastAsia="en-US"/>
        </w:rPr>
        <w:t>.</w:t>
      </w:r>
    </w:p>
    <w:p w:rsidR="003223F6" w:rsidRDefault="003223F6" w:rsidP="007C4905">
      <w:pPr>
        <w:rPr>
          <w:lang w:val="fr-FR" w:eastAsia="en-US"/>
        </w:rPr>
      </w:pPr>
    </w:p>
    <w:p w:rsidR="003223F6" w:rsidRPr="003F305B" w:rsidRDefault="003223F6" w:rsidP="007C4905">
      <w:pPr>
        <w:rPr>
          <w:lang w:val="fr-FR" w:eastAsia="en-US"/>
        </w:rPr>
      </w:pPr>
      <w:r w:rsidRPr="003F305B">
        <w:rPr>
          <w:lang w:val="fr-FR" w:eastAsia="en-US"/>
        </w:rPr>
        <w:t xml:space="preserve">En </w:t>
      </w:r>
      <w:r w:rsidRPr="003F305B">
        <w:rPr>
          <w:b/>
          <w:lang w:val="fr-FR" w:eastAsia="en-US"/>
        </w:rPr>
        <w:t>France</w:t>
      </w:r>
      <w:r w:rsidRPr="003F305B">
        <w:rPr>
          <w:lang w:val="fr-FR" w:eastAsia="en-US"/>
        </w:rPr>
        <w:t>, dans un marché déprimé, le Groupe immatricule 27</w:t>
      </w:r>
      <w:r>
        <w:rPr>
          <w:lang w:val="fr-FR" w:eastAsia="en-US"/>
        </w:rPr>
        <w:t>8 848 véhicules (-10,1</w:t>
      </w:r>
      <w:r w:rsidRPr="003F305B">
        <w:rPr>
          <w:lang w:val="fr-FR" w:eastAsia="en-US"/>
        </w:rPr>
        <w:t xml:space="preserve">%) pour une part de marché VP+VU </w:t>
      </w:r>
      <w:r>
        <w:rPr>
          <w:lang w:val="fr-FR" w:eastAsia="en-US"/>
        </w:rPr>
        <w:t>de 24,9</w:t>
      </w:r>
      <w:r w:rsidRPr="003F305B">
        <w:rPr>
          <w:lang w:val="fr-FR" w:eastAsia="en-US"/>
        </w:rPr>
        <w:t>%</w:t>
      </w:r>
      <w:r>
        <w:rPr>
          <w:lang w:val="fr-FR" w:eastAsia="en-US"/>
        </w:rPr>
        <w:t xml:space="preserve"> (+0,2 point)</w:t>
      </w:r>
      <w:r w:rsidRPr="003F305B">
        <w:rPr>
          <w:lang w:val="fr-FR" w:eastAsia="en-US"/>
        </w:rPr>
        <w:t>. En VP</w:t>
      </w:r>
      <w:r w:rsidRPr="00280A22">
        <w:rPr>
          <w:lang w:val="fr-FR" w:eastAsia="en-US"/>
        </w:rPr>
        <w:t>, Nouvelle Clio est à fin juin le véhicule le plus vendu du marché français</w:t>
      </w:r>
      <w:r>
        <w:rPr>
          <w:lang w:val="fr-FR" w:eastAsia="en-US"/>
        </w:rPr>
        <w:t xml:space="preserve"> et Captur, avec 11 309 immatriculations en 3 mois, réalise</w:t>
      </w:r>
      <w:r w:rsidRPr="003F305B">
        <w:rPr>
          <w:lang w:val="fr-FR" w:eastAsia="en-US"/>
        </w:rPr>
        <w:t xml:space="preserve"> un </w:t>
      </w:r>
      <w:r>
        <w:rPr>
          <w:lang w:val="fr-FR" w:eastAsia="en-US"/>
        </w:rPr>
        <w:t>excellent démarrage</w:t>
      </w:r>
      <w:r w:rsidRPr="003F305B">
        <w:rPr>
          <w:lang w:val="fr-FR" w:eastAsia="en-US"/>
        </w:rPr>
        <w:t xml:space="preserve">. Renault, leader du marché, </w:t>
      </w:r>
      <w:r>
        <w:rPr>
          <w:lang w:val="fr-FR" w:eastAsia="en-US"/>
        </w:rPr>
        <w:t xml:space="preserve">place ses modèles </w:t>
      </w:r>
      <w:r w:rsidRPr="003F305B">
        <w:rPr>
          <w:lang w:val="fr-FR" w:eastAsia="en-US"/>
        </w:rPr>
        <w:t xml:space="preserve">en tête des segments A, B et C. Dacia, avec 4,8% du marché </w:t>
      </w:r>
      <w:r>
        <w:rPr>
          <w:lang w:val="fr-FR" w:eastAsia="en-US"/>
        </w:rPr>
        <w:t>VP (+0,9 point</w:t>
      </w:r>
      <w:r w:rsidRPr="003F305B">
        <w:rPr>
          <w:lang w:val="fr-FR" w:eastAsia="en-US"/>
        </w:rPr>
        <w:t>), est solidement installée à la 5</w:t>
      </w:r>
      <w:r w:rsidRPr="003F305B">
        <w:rPr>
          <w:vertAlign w:val="superscript"/>
          <w:lang w:val="fr-FR" w:eastAsia="en-US"/>
        </w:rPr>
        <w:t>ème</w:t>
      </w:r>
      <w:r w:rsidRPr="003F305B">
        <w:rPr>
          <w:lang w:val="fr-FR" w:eastAsia="en-US"/>
        </w:rPr>
        <w:t xml:space="preserve"> place. En VU, Renault, également leader, place Kangoo Express sur le première marche du podium. </w:t>
      </w:r>
    </w:p>
    <w:p w:rsidR="003223F6" w:rsidRPr="003F305B" w:rsidRDefault="003223F6" w:rsidP="007C4905">
      <w:pPr>
        <w:rPr>
          <w:lang w:val="fr-FR" w:eastAsia="en-US"/>
        </w:rPr>
      </w:pPr>
    </w:p>
    <w:p w:rsidR="003223F6" w:rsidRPr="003F305B" w:rsidRDefault="003223F6" w:rsidP="00DC16B5">
      <w:pPr>
        <w:rPr>
          <w:b/>
          <w:sz w:val="21"/>
          <w:szCs w:val="21"/>
          <w:lang w:val="fr-FR" w:eastAsia="en-US"/>
        </w:rPr>
      </w:pPr>
      <w:r w:rsidRPr="003F305B">
        <w:rPr>
          <w:b/>
          <w:sz w:val="21"/>
          <w:szCs w:val="21"/>
          <w:lang w:val="fr-FR" w:eastAsia="en-US"/>
        </w:rPr>
        <w:t xml:space="preserve">Hors Europe : </w:t>
      </w:r>
      <w:r>
        <w:rPr>
          <w:b/>
          <w:sz w:val="21"/>
          <w:szCs w:val="21"/>
          <w:lang w:val="fr-FR" w:eastAsia="en-US"/>
        </w:rPr>
        <w:t>avec des ventes en hausse de 4,2</w:t>
      </w:r>
      <w:r w:rsidRPr="003F305B">
        <w:rPr>
          <w:b/>
          <w:sz w:val="21"/>
          <w:szCs w:val="21"/>
          <w:lang w:val="fr-FR" w:eastAsia="en-US"/>
        </w:rPr>
        <w:t xml:space="preserve">%, le groupe confirme </w:t>
      </w:r>
      <w:r>
        <w:rPr>
          <w:b/>
          <w:sz w:val="21"/>
          <w:szCs w:val="21"/>
          <w:lang w:val="fr-FR" w:eastAsia="en-US"/>
        </w:rPr>
        <w:t xml:space="preserve">sa dynamique </w:t>
      </w:r>
      <w:r w:rsidRPr="003F305B">
        <w:rPr>
          <w:b/>
          <w:sz w:val="21"/>
          <w:szCs w:val="21"/>
          <w:lang w:val="fr-FR" w:eastAsia="en-US"/>
        </w:rPr>
        <w:t>à l’international</w:t>
      </w:r>
    </w:p>
    <w:p w:rsidR="003223F6" w:rsidRPr="003F305B" w:rsidRDefault="003223F6" w:rsidP="00DC16B5">
      <w:pPr>
        <w:rPr>
          <w:lang w:val="fr-FR" w:eastAsia="en-US"/>
        </w:rPr>
      </w:pPr>
      <w:r>
        <w:rPr>
          <w:lang w:val="fr-FR" w:eastAsia="en-US"/>
        </w:rPr>
        <w:t>Avec 646 274</w:t>
      </w:r>
      <w:r w:rsidRPr="003F305B">
        <w:rPr>
          <w:lang w:val="fr-FR" w:eastAsia="en-US"/>
        </w:rPr>
        <w:t xml:space="preserve"> véhicules vendus, le Groupe augmen</w:t>
      </w:r>
      <w:r>
        <w:rPr>
          <w:lang w:val="fr-FR" w:eastAsia="en-US"/>
        </w:rPr>
        <w:t>te ses ventes hors Europe de 4,3</w:t>
      </w:r>
      <w:r w:rsidRPr="003F305B">
        <w:rPr>
          <w:lang w:val="fr-FR" w:eastAsia="en-US"/>
        </w:rPr>
        <w:t>%. La part des ven</w:t>
      </w:r>
      <w:r>
        <w:rPr>
          <w:lang w:val="fr-FR" w:eastAsia="en-US"/>
        </w:rPr>
        <w:t>tes hors Europe s’établit à 49,6</w:t>
      </w:r>
      <w:r w:rsidRPr="003F305B">
        <w:rPr>
          <w:lang w:val="fr-FR" w:eastAsia="en-US"/>
        </w:rPr>
        <w:t>%, contre 46,7% au premier semestre 2012.</w:t>
      </w: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lang w:val="fr-FR" w:eastAsia="en-US"/>
        </w:rPr>
        <w:t>Le Groupe confirme ainsi son développement à l’international, avec 5 de ses 10 principaux marchés situés hors d’Europe, dont 2 (Russie et Brésil) dans le Top 3.</w:t>
      </w:r>
    </w:p>
    <w:p w:rsidR="003223F6" w:rsidRPr="003F305B" w:rsidRDefault="003223F6" w:rsidP="00DC16B5">
      <w:pPr>
        <w:rPr>
          <w:lang w:val="fr-FR" w:eastAsia="en-US"/>
        </w:rPr>
      </w:pPr>
    </w:p>
    <w:p w:rsidR="003223F6" w:rsidRPr="003F305B" w:rsidRDefault="003223F6" w:rsidP="00DC16B5">
      <w:pPr>
        <w:rPr>
          <w:b/>
          <w:lang w:val="fr-FR" w:eastAsia="en-US"/>
        </w:rPr>
      </w:pPr>
      <w:r w:rsidRPr="003F305B">
        <w:rPr>
          <w:b/>
          <w:lang w:val="fr-FR" w:eastAsia="en-US"/>
        </w:rPr>
        <w:t>Région Eurasie : v</w:t>
      </w:r>
      <w:r>
        <w:rPr>
          <w:b/>
          <w:lang w:val="fr-FR" w:eastAsia="en-US"/>
        </w:rPr>
        <w:t>entes en hausse de 9,9</w:t>
      </w:r>
      <w:r w:rsidRPr="003F305B">
        <w:rPr>
          <w:b/>
          <w:lang w:val="fr-FR" w:eastAsia="en-US"/>
        </w:rPr>
        <w:t>%, la Russie devient le 2</w:t>
      </w:r>
      <w:r w:rsidRPr="003F305B">
        <w:rPr>
          <w:b/>
          <w:vertAlign w:val="superscript"/>
          <w:lang w:val="fr-FR" w:eastAsia="en-US"/>
        </w:rPr>
        <w:t>ème</w:t>
      </w:r>
      <w:r w:rsidRPr="003F305B">
        <w:rPr>
          <w:b/>
          <w:lang w:val="fr-FR" w:eastAsia="en-US"/>
        </w:rPr>
        <w:t xml:space="preserve"> marché du Groupe</w:t>
      </w: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lang w:val="fr-FR" w:eastAsia="en-US"/>
        </w:rPr>
        <w:t>A</w:t>
      </w:r>
      <w:r>
        <w:rPr>
          <w:lang w:val="fr-FR" w:eastAsia="en-US"/>
        </w:rPr>
        <w:t>vec 114 189</w:t>
      </w:r>
      <w:r w:rsidRPr="003F305B">
        <w:rPr>
          <w:lang w:val="fr-FR" w:eastAsia="en-US"/>
        </w:rPr>
        <w:t xml:space="preserve"> véhicules vendus, les ventes de Renault progressent</w:t>
      </w:r>
      <w:r>
        <w:rPr>
          <w:lang w:val="fr-FR" w:eastAsia="en-US"/>
        </w:rPr>
        <w:t xml:space="preserve"> de 9,9</w:t>
      </w:r>
      <w:r w:rsidRPr="003F305B">
        <w:rPr>
          <w:lang w:val="fr-FR" w:eastAsia="en-US"/>
        </w:rPr>
        <w:t xml:space="preserve">%. La part de marché de la marque </w:t>
      </w:r>
      <w:r>
        <w:rPr>
          <w:lang w:val="fr-FR" w:eastAsia="en-US"/>
        </w:rPr>
        <w:t>atteint un record de 7,3%, en progression de 0,9</w:t>
      </w:r>
      <w:r w:rsidRPr="003F305B">
        <w:rPr>
          <w:lang w:val="fr-FR" w:eastAsia="en-US"/>
        </w:rPr>
        <w:t xml:space="preserve"> point.</w:t>
      </w: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lang w:val="fr-FR" w:eastAsia="en-US"/>
        </w:rPr>
        <w:t xml:space="preserve">En </w:t>
      </w:r>
      <w:r w:rsidRPr="003F305B">
        <w:rPr>
          <w:b/>
          <w:lang w:val="fr-FR" w:eastAsia="en-US"/>
        </w:rPr>
        <w:t>Russie</w:t>
      </w:r>
      <w:r>
        <w:rPr>
          <w:lang w:val="fr-FR" w:eastAsia="en-US"/>
        </w:rPr>
        <w:t>, dans un marché en baisse de 5,7</w:t>
      </w:r>
      <w:r w:rsidRPr="003F305B">
        <w:rPr>
          <w:lang w:val="fr-FR" w:eastAsia="en-US"/>
        </w:rPr>
        <w:t xml:space="preserve">%, les ventes de Renault </w:t>
      </w:r>
      <w:r>
        <w:rPr>
          <w:lang w:val="fr-FR" w:eastAsia="en-US"/>
        </w:rPr>
        <w:t>progressent de 9,5</w:t>
      </w:r>
      <w:r w:rsidRPr="003F305B">
        <w:rPr>
          <w:lang w:val="fr-FR" w:eastAsia="en-US"/>
        </w:rPr>
        <w:t xml:space="preserve">%, portées par la percée de </w:t>
      </w:r>
      <w:r w:rsidRPr="00924BB9">
        <w:rPr>
          <w:lang w:val="fr-FR" w:eastAsia="en-US"/>
        </w:rPr>
        <w:t xml:space="preserve">Duster, leader du segment des SUV, et le </w:t>
      </w:r>
      <w:r w:rsidRPr="003F305B">
        <w:rPr>
          <w:lang w:val="fr-FR" w:eastAsia="en-US"/>
        </w:rPr>
        <w:t>succès continu de Logan et de Sandero.</w:t>
      </w:r>
      <w:r>
        <w:rPr>
          <w:lang w:val="fr-FR" w:eastAsia="en-US"/>
        </w:rPr>
        <w:t xml:space="preserve"> Renault est la deuxième marque dans le pays, avec 7,8% du marché (+1,1 point). Et l</w:t>
      </w:r>
      <w:r w:rsidRPr="003F305B">
        <w:rPr>
          <w:lang w:val="fr-FR" w:eastAsia="en-US"/>
        </w:rPr>
        <w:t>a Russie devient à fin juin le deuxième marché du Groupe dans le monde.</w:t>
      </w:r>
    </w:p>
    <w:p w:rsidR="003223F6" w:rsidRPr="003F305B" w:rsidRDefault="003223F6" w:rsidP="00DC16B5">
      <w:pPr>
        <w:rPr>
          <w:lang w:val="fr-FR" w:eastAsia="en-US"/>
        </w:rPr>
      </w:pPr>
    </w:p>
    <w:p w:rsidR="003223F6" w:rsidRPr="003F305B" w:rsidRDefault="003223F6" w:rsidP="00D650A7">
      <w:pPr>
        <w:rPr>
          <w:b/>
          <w:lang w:val="fr-FR" w:eastAsia="en-US"/>
        </w:rPr>
      </w:pPr>
      <w:r w:rsidRPr="003F305B">
        <w:rPr>
          <w:b/>
          <w:lang w:val="fr-FR" w:eastAsia="en-US"/>
        </w:rPr>
        <w:t>Région Asie-P</w:t>
      </w:r>
      <w:r>
        <w:rPr>
          <w:b/>
          <w:lang w:val="fr-FR" w:eastAsia="en-US"/>
        </w:rPr>
        <w:t>acifique : ventes en hausse de 7,8</w:t>
      </w:r>
      <w:r w:rsidRPr="003F305B">
        <w:rPr>
          <w:b/>
          <w:lang w:val="fr-FR" w:eastAsia="en-US"/>
        </w:rPr>
        <w:t>%, Renault perce en Inde</w:t>
      </w:r>
    </w:p>
    <w:p w:rsidR="003223F6" w:rsidRDefault="003223F6" w:rsidP="00D650A7">
      <w:pPr>
        <w:rPr>
          <w:lang w:val="fr-FR" w:eastAsia="en-US"/>
        </w:rPr>
      </w:pPr>
      <w:r>
        <w:rPr>
          <w:lang w:val="fr-FR" w:eastAsia="en-US"/>
        </w:rPr>
        <w:t>Avec 125 400</w:t>
      </w:r>
      <w:r w:rsidRPr="003F305B">
        <w:rPr>
          <w:lang w:val="fr-FR" w:eastAsia="en-US"/>
        </w:rPr>
        <w:t xml:space="preserve"> véhicules vendus, les ventes du Groupe progressent de </w:t>
      </w:r>
      <w:r>
        <w:rPr>
          <w:lang w:val="fr-FR" w:eastAsia="en-US"/>
        </w:rPr>
        <w:t>7,8</w:t>
      </w:r>
      <w:r w:rsidRPr="003F305B">
        <w:rPr>
          <w:lang w:val="fr-FR" w:eastAsia="en-US"/>
        </w:rPr>
        <w:t>%. Sa p</w:t>
      </w:r>
      <w:r>
        <w:rPr>
          <w:lang w:val="fr-FR" w:eastAsia="en-US"/>
        </w:rPr>
        <w:t>art de marché reste stable à 0,7</w:t>
      </w:r>
      <w:r w:rsidRPr="003F305B">
        <w:rPr>
          <w:lang w:val="fr-FR" w:eastAsia="en-US"/>
        </w:rPr>
        <w:t>%.</w:t>
      </w:r>
    </w:p>
    <w:p w:rsidR="003223F6" w:rsidRDefault="003223F6" w:rsidP="00D650A7">
      <w:pPr>
        <w:rPr>
          <w:lang w:val="fr-FR" w:eastAsia="en-US"/>
        </w:rPr>
      </w:pPr>
    </w:p>
    <w:p w:rsidR="003223F6" w:rsidRDefault="003223F6" w:rsidP="00D650A7">
      <w:pPr>
        <w:rPr>
          <w:lang w:val="fr-FR" w:eastAsia="en-US"/>
        </w:rPr>
      </w:pPr>
    </w:p>
    <w:p w:rsidR="003223F6" w:rsidRPr="003F305B" w:rsidRDefault="003223F6" w:rsidP="00D650A7">
      <w:pPr>
        <w:rPr>
          <w:lang w:val="fr-FR" w:eastAsia="en-US"/>
        </w:rPr>
      </w:pP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lang w:val="fr-FR" w:eastAsia="en-US"/>
        </w:rPr>
        <w:t xml:space="preserve">Forte d’une gamme de 5 modèles et d’un réseau de plus de 100 points de vente couvrant 90% du territoire, la marque Renault effectue une percée en </w:t>
      </w:r>
      <w:r w:rsidRPr="003F305B">
        <w:rPr>
          <w:b/>
          <w:lang w:val="fr-FR" w:eastAsia="en-US"/>
        </w:rPr>
        <w:t>Inde</w:t>
      </w:r>
      <w:r w:rsidRPr="003F305B">
        <w:rPr>
          <w:lang w:val="fr-FR" w:eastAsia="en-US"/>
        </w:rPr>
        <w:t xml:space="preserve"> et prend 2,5</w:t>
      </w:r>
      <w:r>
        <w:rPr>
          <w:lang w:val="fr-FR" w:eastAsia="en-US"/>
        </w:rPr>
        <w:t>% du marché (contre 0,2% au premier semestre 2012) avec 39 490</w:t>
      </w:r>
      <w:r w:rsidRPr="003F305B">
        <w:rPr>
          <w:lang w:val="fr-FR" w:eastAsia="en-US"/>
        </w:rPr>
        <w:t xml:space="preserve"> véhicules vendus.</w:t>
      </w:r>
      <w:r>
        <w:rPr>
          <w:lang w:val="fr-FR" w:eastAsia="en-US"/>
        </w:rPr>
        <w:t xml:space="preserve"> Elle devient première marque européenne dans le pays.</w:t>
      </w: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lang w:val="fr-FR" w:eastAsia="en-US"/>
        </w:rPr>
        <w:t xml:space="preserve">En </w:t>
      </w:r>
      <w:r w:rsidRPr="003F305B">
        <w:rPr>
          <w:b/>
          <w:lang w:val="fr-FR" w:eastAsia="en-US"/>
        </w:rPr>
        <w:t>Corée du Sud</w:t>
      </w:r>
      <w:r w:rsidRPr="003F305B">
        <w:rPr>
          <w:lang w:val="fr-FR" w:eastAsia="en-US"/>
        </w:rPr>
        <w:t xml:space="preserve">, les ventes de Renault Samsung Motors sont en recul de </w:t>
      </w:r>
      <w:r>
        <w:rPr>
          <w:lang w:val="fr-FR" w:eastAsia="en-US"/>
        </w:rPr>
        <w:t>14,2</w:t>
      </w:r>
      <w:r w:rsidRPr="003F305B">
        <w:rPr>
          <w:lang w:val="fr-FR" w:eastAsia="en-US"/>
        </w:rPr>
        <w:t>% dans un marché stable. Le plan de restructuration mis en place en 2012 commence à porter ses premiers fruits, avec le bon démarrage de SM5 phase 2. L’arrivée de QM3 en fin d’année devrait marquer le début de la reconquête.</w:t>
      </w:r>
    </w:p>
    <w:p w:rsidR="003223F6" w:rsidRPr="003F305B" w:rsidRDefault="003223F6" w:rsidP="00DC16B5">
      <w:pPr>
        <w:rPr>
          <w:lang w:val="fr-FR" w:eastAsia="en-US"/>
        </w:rPr>
      </w:pPr>
    </w:p>
    <w:p w:rsidR="003223F6" w:rsidRPr="003F305B" w:rsidRDefault="003223F6" w:rsidP="00DC16B5">
      <w:pPr>
        <w:rPr>
          <w:lang w:val="fr-FR" w:eastAsia="en-US"/>
        </w:rPr>
      </w:pPr>
      <w:r w:rsidRPr="003F305B">
        <w:rPr>
          <w:b/>
          <w:lang w:val="fr-FR" w:eastAsia="en-US"/>
        </w:rPr>
        <w:t xml:space="preserve">Région Euromed-Afrique : </w:t>
      </w:r>
      <w:r>
        <w:rPr>
          <w:b/>
          <w:lang w:val="fr-FR" w:eastAsia="en-US"/>
        </w:rPr>
        <w:t>ventes en hausse de 6,7</w:t>
      </w:r>
      <w:r w:rsidRPr="003F305B">
        <w:rPr>
          <w:b/>
          <w:lang w:val="fr-FR" w:eastAsia="en-US"/>
        </w:rPr>
        <w:t>%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>Les ventes du Group</w:t>
      </w:r>
      <w:r>
        <w:rPr>
          <w:lang w:val="fr-FR"/>
        </w:rPr>
        <w:t>e progressent de 6,7%, à 196 543</w:t>
      </w:r>
      <w:r w:rsidRPr="003F305B">
        <w:rPr>
          <w:lang w:val="fr-FR"/>
        </w:rPr>
        <w:t xml:space="preserve"> unités. La part de marché s’établit à 15,</w:t>
      </w:r>
      <w:r>
        <w:rPr>
          <w:lang w:val="fr-FR"/>
        </w:rPr>
        <w:t>4% (-0,2</w:t>
      </w:r>
      <w:r w:rsidRPr="003F305B">
        <w:rPr>
          <w:lang w:val="fr-FR"/>
        </w:rPr>
        <w:t xml:space="preserve"> point).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 xml:space="preserve">En </w:t>
      </w:r>
      <w:r w:rsidRPr="003F305B">
        <w:rPr>
          <w:b/>
          <w:lang w:val="fr-FR"/>
        </w:rPr>
        <w:t>Turquie</w:t>
      </w:r>
      <w:r w:rsidRPr="003F305B">
        <w:rPr>
          <w:lang w:val="fr-FR"/>
        </w:rPr>
        <w:t xml:space="preserve">, </w:t>
      </w:r>
      <w:r>
        <w:rPr>
          <w:lang w:val="fr-FR"/>
        </w:rPr>
        <w:t xml:space="preserve">dans un marché dynamique (+12,1%), </w:t>
      </w:r>
      <w:r w:rsidRPr="003F305B">
        <w:rPr>
          <w:lang w:val="fr-FR"/>
        </w:rPr>
        <w:t>les vent</w:t>
      </w:r>
      <w:r>
        <w:rPr>
          <w:lang w:val="fr-FR"/>
        </w:rPr>
        <w:t>es du groupe progressent de 16,7</w:t>
      </w:r>
      <w:r w:rsidRPr="003F305B">
        <w:rPr>
          <w:lang w:val="fr-FR"/>
        </w:rPr>
        <w:t>%, portées par le</w:t>
      </w:r>
      <w:r>
        <w:rPr>
          <w:lang w:val="fr-FR"/>
        </w:rPr>
        <w:t>s</w:t>
      </w:r>
      <w:r w:rsidRPr="003F305B">
        <w:rPr>
          <w:lang w:val="fr-FR"/>
        </w:rPr>
        <w:t xml:space="preserve"> </w:t>
      </w:r>
      <w:r>
        <w:rPr>
          <w:lang w:val="fr-FR"/>
        </w:rPr>
        <w:t>succès côté Renault des nouvelles Fluence, Clio (leader du segment B) et Symbol, et côté Dacia par la progression de Duster (+31,1%) et les excellents démarrages de nouvelle Sandero, de Lodgy et de Dokker. Le Groupe détient 17,2</w:t>
      </w:r>
      <w:r w:rsidRPr="003F305B">
        <w:rPr>
          <w:lang w:val="fr-FR"/>
        </w:rPr>
        <w:t>% du marché (+0,</w:t>
      </w:r>
      <w:r>
        <w:rPr>
          <w:lang w:val="fr-FR"/>
        </w:rPr>
        <w:t>7</w:t>
      </w:r>
      <w:r w:rsidRPr="003F305B">
        <w:rPr>
          <w:lang w:val="fr-FR"/>
        </w:rPr>
        <w:t xml:space="preserve"> point)</w:t>
      </w:r>
      <w:r>
        <w:rPr>
          <w:lang w:val="fr-FR"/>
        </w:rPr>
        <w:t>.</w:t>
      </w:r>
    </w:p>
    <w:p w:rsidR="003223F6" w:rsidRDefault="003223F6" w:rsidP="00CF07D1">
      <w:pPr>
        <w:rPr>
          <w:lang w:val="fr-FR"/>
        </w:rPr>
      </w:pPr>
      <w:r w:rsidRPr="003F305B">
        <w:rPr>
          <w:lang w:val="fr-FR"/>
        </w:rPr>
        <w:t xml:space="preserve">En </w:t>
      </w:r>
      <w:r w:rsidRPr="003F305B">
        <w:rPr>
          <w:b/>
          <w:lang w:val="fr-FR"/>
        </w:rPr>
        <w:t>Algérie</w:t>
      </w:r>
      <w:r w:rsidRPr="003F305B">
        <w:rPr>
          <w:lang w:val="fr-FR"/>
        </w:rPr>
        <w:t xml:space="preserve">, les ventes du Groupe ont augmenté de </w:t>
      </w:r>
      <w:r>
        <w:rPr>
          <w:lang w:val="fr-FR"/>
        </w:rPr>
        <w:t>6,5</w:t>
      </w:r>
      <w:r w:rsidRPr="003F305B">
        <w:rPr>
          <w:lang w:val="fr-FR"/>
        </w:rPr>
        <w:t xml:space="preserve">%, </w:t>
      </w:r>
      <w:r>
        <w:rPr>
          <w:lang w:val="fr-FR"/>
        </w:rPr>
        <w:t>pour une part de marché de 26,5%. En VP, le succès de Nouvelle Clio</w:t>
      </w:r>
      <w:r w:rsidRPr="006A64DC">
        <w:rPr>
          <w:lang w:val="fr-FR"/>
        </w:rPr>
        <w:t>, deuxième de son segment avec 6,4% du marché derrière</w:t>
      </w:r>
      <w:r>
        <w:rPr>
          <w:lang w:val="fr-FR"/>
        </w:rPr>
        <w:t xml:space="preserve"> Logan, permet au groupe de maintenir sa performance commerciale, avec 28,6% </w:t>
      </w:r>
      <w:r w:rsidRPr="00DA7997">
        <w:rPr>
          <w:lang w:val="fr-FR"/>
        </w:rPr>
        <w:t>du marché.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 xml:space="preserve">Au </w:t>
      </w:r>
      <w:r w:rsidRPr="003F305B">
        <w:rPr>
          <w:b/>
          <w:lang w:val="fr-FR"/>
        </w:rPr>
        <w:t>Maroc</w:t>
      </w:r>
      <w:r w:rsidRPr="003F305B">
        <w:rPr>
          <w:lang w:val="fr-FR"/>
        </w:rPr>
        <w:t>, le Groupe place les marques Dacia et Renault en tête du marché et enregistre une pénétration record de 3</w:t>
      </w:r>
      <w:r>
        <w:rPr>
          <w:lang w:val="fr-FR"/>
        </w:rPr>
        <w:t>9,3% (+1,6</w:t>
      </w:r>
      <w:r w:rsidRPr="003F305B">
        <w:rPr>
          <w:lang w:val="fr-FR"/>
        </w:rPr>
        <w:t xml:space="preserve"> point).</w:t>
      </w:r>
    </w:p>
    <w:p w:rsidR="003223F6" w:rsidRPr="003F305B" w:rsidRDefault="003223F6" w:rsidP="00CF07D1">
      <w:pPr>
        <w:rPr>
          <w:lang w:val="fr-FR"/>
        </w:rPr>
      </w:pPr>
    </w:p>
    <w:p w:rsidR="003223F6" w:rsidRPr="003F305B" w:rsidRDefault="003223F6" w:rsidP="00CF07D1">
      <w:pPr>
        <w:rPr>
          <w:lang w:val="fr-FR"/>
        </w:rPr>
      </w:pPr>
      <w:r w:rsidRPr="003F305B">
        <w:rPr>
          <w:b/>
          <w:lang w:val="fr-FR"/>
        </w:rPr>
        <w:t xml:space="preserve">Région Amériques : </w:t>
      </w:r>
      <w:r w:rsidRPr="003F305B">
        <w:rPr>
          <w:b/>
          <w:lang w:val="fr-FR" w:eastAsia="en-US"/>
        </w:rPr>
        <w:t>ventes en baisse</w:t>
      </w:r>
      <w:r>
        <w:rPr>
          <w:b/>
          <w:lang w:val="fr-FR" w:eastAsia="en-US"/>
        </w:rPr>
        <w:t xml:space="preserve"> de 2,4</w:t>
      </w:r>
      <w:r w:rsidRPr="003F305B">
        <w:rPr>
          <w:b/>
          <w:lang w:val="fr-FR" w:eastAsia="en-US"/>
        </w:rPr>
        <w:t>%</w:t>
      </w:r>
      <w:r>
        <w:rPr>
          <w:b/>
          <w:lang w:val="fr-FR" w:eastAsia="en-US"/>
        </w:rPr>
        <w:t>, mais reprise au 2</w:t>
      </w:r>
      <w:r w:rsidRPr="006414C9">
        <w:rPr>
          <w:b/>
          <w:vertAlign w:val="superscript"/>
          <w:lang w:val="fr-FR" w:eastAsia="en-US"/>
        </w:rPr>
        <w:t>nd</w:t>
      </w:r>
      <w:r>
        <w:rPr>
          <w:b/>
          <w:lang w:val="fr-FR" w:eastAsia="en-US"/>
        </w:rPr>
        <w:t xml:space="preserve"> trimestre (+2,9%)</w:t>
      </w:r>
    </w:p>
    <w:p w:rsidR="003223F6" w:rsidRPr="003F305B" w:rsidRDefault="003223F6" w:rsidP="00566A09">
      <w:pPr>
        <w:rPr>
          <w:lang w:val="fr-FR" w:eastAsia="en-US"/>
        </w:rPr>
      </w:pPr>
      <w:r>
        <w:rPr>
          <w:lang w:val="fr-FR" w:eastAsia="en-US"/>
        </w:rPr>
        <w:t>Avec 210 142</w:t>
      </w:r>
      <w:r w:rsidRPr="003F305B">
        <w:rPr>
          <w:lang w:val="fr-FR" w:eastAsia="en-US"/>
        </w:rPr>
        <w:t xml:space="preserve"> véhicules vendus, les ventes </w:t>
      </w:r>
      <w:r>
        <w:rPr>
          <w:lang w:val="fr-FR" w:eastAsia="en-US"/>
        </w:rPr>
        <w:t>du Groupe sont en retrait de 2,4</w:t>
      </w:r>
      <w:r w:rsidRPr="003F305B">
        <w:rPr>
          <w:lang w:val="fr-FR" w:eastAsia="en-US"/>
        </w:rPr>
        <w:t>%. Sa part de marché s’établit à 6,2% (-0,5 point).</w:t>
      </w:r>
      <w:r>
        <w:rPr>
          <w:lang w:val="fr-FR" w:eastAsia="en-US"/>
        </w:rPr>
        <w:t xml:space="preserve"> En VU, les ventes du Groupe progressent de 20,4%, près de trois fois plus que le marché (+7,8%). Au deuxième trimestre, le groupe enregistre toutefois une reprise significative de ses ventes, en hausse de 2,9%.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 xml:space="preserve">Au </w:t>
      </w:r>
      <w:r w:rsidRPr="003F305B">
        <w:rPr>
          <w:b/>
          <w:lang w:val="fr-FR"/>
        </w:rPr>
        <w:t>Brésil</w:t>
      </w:r>
      <w:r w:rsidRPr="003F305B">
        <w:rPr>
          <w:lang w:val="fr-FR"/>
        </w:rPr>
        <w:t xml:space="preserve">, la fermeture de l’usine de Curitiba </w:t>
      </w:r>
      <w:r>
        <w:rPr>
          <w:lang w:val="fr-FR"/>
        </w:rPr>
        <w:t xml:space="preserve">pendant 2 mois (décembre–janvier) pour augmenter la capacité de production de 100 000 véhicules </w:t>
      </w:r>
      <w:r w:rsidRPr="003F305B">
        <w:rPr>
          <w:lang w:val="fr-FR"/>
        </w:rPr>
        <w:t>a entraîné une pénurie de véhicule</w:t>
      </w:r>
      <w:r>
        <w:rPr>
          <w:lang w:val="fr-FR"/>
        </w:rPr>
        <w:t>s</w:t>
      </w:r>
      <w:r w:rsidRPr="003F305B">
        <w:rPr>
          <w:lang w:val="fr-FR"/>
        </w:rPr>
        <w:t xml:space="preserve"> qui a pénalisé les ventes. Renault détient 6,0% du marché (-0,8 point). </w:t>
      </w:r>
      <w:r>
        <w:rPr>
          <w:lang w:val="fr-FR"/>
        </w:rPr>
        <w:t>Avec 102 020</w:t>
      </w:r>
      <w:r w:rsidRPr="003F305B">
        <w:rPr>
          <w:lang w:val="fr-FR"/>
        </w:rPr>
        <w:t xml:space="preserve"> véhicules vendus, le Brésil est le 3</w:t>
      </w:r>
      <w:r w:rsidRPr="003F305B">
        <w:rPr>
          <w:vertAlign w:val="superscript"/>
          <w:lang w:val="fr-FR"/>
        </w:rPr>
        <w:t>ème</w:t>
      </w:r>
      <w:r w:rsidRPr="003F305B">
        <w:rPr>
          <w:lang w:val="fr-FR"/>
        </w:rPr>
        <w:t xml:space="preserve"> marché mondial du Groupe.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 xml:space="preserve">En </w:t>
      </w:r>
      <w:r w:rsidRPr="003F305B">
        <w:rPr>
          <w:b/>
          <w:lang w:val="fr-FR"/>
        </w:rPr>
        <w:t>Argentine</w:t>
      </w:r>
      <w:r w:rsidRPr="003F305B">
        <w:rPr>
          <w:lang w:val="fr-FR"/>
        </w:rPr>
        <w:t>, les ventes de Renault progress</w:t>
      </w:r>
      <w:r>
        <w:rPr>
          <w:lang w:val="fr-FR"/>
        </w:rPr>
        <w:t>ent de 6,8</w:t>
      </w:r>
      <w:r w:rsidRPr="003F305B">
        <w:rPr>
          <w:lang w:val="fr-FR"/>
        </w:rPr>
        <w:t>%, portée</w:t>
      </w:r>
      <w:r>
        <w:rPr>
          <w:lang w:val="fr-FR"/>
        </w:rPr>
        <w:t xml:space="preserve">s par le succès de Clio Mio et de Duster. </w:t>
      </w:r>
      <w:r w:rsidRPr="003F305B">
        <w:rPr>
          <w:lang w:val="fr-FR"/>
        </w:rPr>
        <w:t>La part de marché de la marque s’établit à 14,1% (-0,2 point)</w:t>
      </w:r>
      <w:r>
        <w:rPr>
          <w:lang w:val="fr-FR"/>
        </w:rPr>
        <w:t>. Les ventes VU (+15,3%) seront soutenues au second semestre par l’arrivée de nouveau Master</w:t>
      </w:r>
      <w:r w:rsidRPr="003F305B">
        <w:rPr>
          <w:lang w:val="fr-FR"/>
        </w:rPr>
        <w:t>.</w:t>
      </w:r>
    </w:p>
    <w:p w:rsidR="003223F6" w:rsidRDefault="003223F6" w:rsidP="00CF07D1">
      <w:pPr>
        <w:rPr>
          <w:lang w:val="fr-FR"/>
        </w:rPr>
      </w:pPr>
    </w:p>
    <w:p w:rsidR="003223F6" w:rsidRDefault="003223F6" w:rsidP="00CF07D1">
      <w:pPr>
        <w:rPr>
          <w:lang w:val="fr-FR"/>
        </w:rPr>
      </w:pPr>
    </w:p>
    <w:p w:rsidR="003223F6" w:rsidRDefault="003223F6" w:rsidP="00CF07D1">
      <w:pPr>
        <w:rPr>
          <w:lang w:val="fr-FR"/>
        </w:rPr>
      </w:pPr>
    </w:p>
    <w:p w:rsidR="003223F6" w:rsidRPr="0059079D" w:rsidRDefault="003223F6" w:rsidP="00CF07D1">
      <w:pPr>
        <w:rPr>
          <w:lang w:val="fr-FR"/>
        </w:rPr>
      </w:pPr>
    </w:p>
    <w:p w:rsidR="003223F6" w:rsidRPr="003F305B" w:rsidRDefault="003223F6" w:rsidP="00CF07D1">
      <w:pPr>
        <w:rPr>
          <w:b/>
          <w:lang w:val="fr-FR"/>
        </w:rPr>
      </w:pPr>
      <w:r w:rsidRPr="003F305B">
        <w:rPr>
          <w:b/>
          <w:lang w:val="fr-FR"/>
        </w:rPr>
        <w:t>Perspectives commerciales pour 2013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 xml:space="preserve">La croissance du marché automobile mondial devrait se poursuivre en 2013, avec une hausse de 2%, </w:t>
      </w:r>
      <w:r>
        <w:rPr>
          <w:lang w:val="fr-FR"/>
        </w:rPr>
        <w:t>contre 3% prévus en début d’année</w:t>
      </w:r>
      <w:r w:rsidRPr="003F305B">
        <w:rPr>
          <w:lang w:val="fr-FR"/>
        </w:rPr>
        <w:t xml:space="preserve">. Cette évolution </w:t>
      </w:r>
      <w:r>
        <w:rPr>
          <w:lang w:val="fr-FR"/>
        </w:rPr>
        <w:t>marque le ralentissement de la croissance dans certains pays émergents alors que l’Europe s’oriente toujours vers une baisse de marché de 5%, avec un marché français en baisse de 8% contre 5% prévus jusqu’à présent.</w:t>
      </w:r>
    </w:p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t>« </w:t>
      </w:r>
      <w:r w:rsidRPr="008C7FE6">
        <w:rPr>
          <w:i/>
          <w:lang w:val="fr-FR"/>
        </w:rPr>
        <w:t xml:space="preserve">Le renouvellement des gammes produit du Groupe est maintenant largement engagé et commence à porter ses fruits sur l’ensemble des marchés. </w:t>
      </w:r>
      <w:r>
        <w:rPr>
          <w:i/>
          <w:lang w:val="fr-FR"/>
        </w:rPr>
        <w:t>L’accroissement de nos capacités industrielles à l’international,</w:t>
      </w:r>
      <w:r w:rsidRPr="008C7FE6">
        <w:rPr>
          <w:i/>
          <w:lang w:val="fr-FR"/>
        </w:rPr>
        <w:t xml:space="preserve"> </w:t>
      </w:r>
      <w:r>
        <w:rPr>
          <w:i/>
          <w:lang w:val="fr-FR"/>
        </w:rPr>
        <w:t>ainsi que la</w:t>
      </w:r>
      <w:r w:rsidRPr="008C7FE6">
        <w:rPr>
          <w:i/>
          <w:lang w:val="fr-FR"/>
        </w:rPr>
        <w:t xml:space="preserve"> pertinence </w:t>
      </w:r>
      <w:r>
        <w:rPr>
          <w:i/>
          <w:lang w:val="fr-FR"/>
        </w:rPr>
        <w:t xml:space="preserve">et l’attractivité </w:t>
      </w:r>
      <w:r w:rsidRPr="008C7FE6">
        <w:rPr>
          <w:i/>
          <w:lang w:val="fr-FR"/>
        </w:rPr>
        <w:t xml:space="preserve">de notre offre, </w:t>
      </w:r>
      <w:r>
        <w:rPr>
          <w:i/>
          <w:lang w:val="fr-FR"/>
        </w:rPr>
        <w:t>doivent</w:t>
      </w:r>
      <w:r w:rsidRPr="008C7FE6">
        <w:rPr>
          <w:i/>
          <w:lang w:val="fr-FR"/>
        </w:rPr>
        <w:t xml:space="preserve"> nous permettre de dépasser en 2013 notre volume de ventes mondiales 2012</w:t>
      </w:r>
      <w:r>
        <w:rPr>
          <w:i/>
          <w:lang w:val="fr-FR"/>
        </w:rPr>
        <w:t xml:space="preserve"> et de regagner des parts de marché en Europe</w:t>
      </w:r>
      <w:r w:rsidRPr="003F305B">
        <w:rPr>
          <w:lang w:val="fr-FR"/>
        </w:rPr>
        <w:t xml:space="preserve"> » a déclaré </w:t>
      </w:r>
      <w:r w:rsidRPr="003F305B">
        <w:rPr>
          <w:b/>
          <w:lang w:val="fr-FR"/>
        </w:rPr>
        <w:t>Jérôme Stoll</w:t>
      </w:r>
      <w:r w:rsidRPr="003F305B">
        <w:rPr>
          <w:lang w:val="fr-FR"/>
        </w:rPr>
        <w:t>.</w:t>
      </w:r>
    </w:p>
    <w:p w:rsidR="003223F6" w:rsidRDefault="003223F6" w:rsidP="00CF07D1">
      <w:pPr>
        <w:rPr>
          <w:lang w:val="fr-FR"/>
        </w:rPr>
      </w:pPr>
    </w:p>
    <w:p w:rsidR="003223F6" w:rsidRPr="003F305B" w:rsidRDefault="003223F6" w:rsidP="000B676E">
      <w:pPr>
        <w:rPr>
          <w:b/>
          <w:lang w:val="fr-FR"/>
        </w:rPr>
      </w:pPr>
      <w:r w:rsidRPr="003F305B">
        <w:rPr>
          <w:b/>
          <w:lang w:val="fr-FR"/>
        </w:rPr>
        <w:t>Total des ventes par marques</w:t>
      </w:r>
    </w:p>
    <w:p w:rsidR="003223F6" w:rsidRPr="00263D38" w:rsidRDefault="003223F6" w:rsidP="0028121F">
      <w:pPr>
        <w:spacing w:before="0" w:line="240" w:lineRule="auto"/>
        <w:rPr>
          <w:szCs w:val="20"/>
          <w:lang w:val="fr-FR"/>
        </w:rPr>
      </w:pPr>
    </w:p>
    <w:bookmarkStart w:id="4" w:name="_MON_1433524244"/>
    <w:bookmarkEnd w:id="4"/>
    <w:p w:rsidR="003223F6" w:rsidRPr="003F305B" w:rsidRDefault="003223F6" w:rsidP="0028121F">
      <w:pPr>
        <w:rPr>
          <w:lang w:val="fr-FR"/>
        </w:rPr>
      </w:pPr>
      <w:r w:rsidRPr="003F305B">
        <w:rPr>
          <w:lang w:val="fr-FR"/>
        </w:rPr>
        <w:object w:dxaOrig="7612" w:dyaOrig="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9pt;height:224.25pt" o:ole="">
            <v:imagedata r:id="rId7" o:title=""/>
          </v:shape>
          <o:OLEObject Type="Embed" ProgID="Excel.Sheet.12" ShapeID="_x0000_i1027" DrawAspect="Content" ObjectID="_1435066279" r:id="rId8"/>
        </w:object>
      </w:r>
    </w:p>
    <w:p w:rsidR="003223F6" w:rsidRPr="003F305B" w:rsidRDefault="003223F6" w:rsidP="00E47BEC">
      <w:pPr>
        <w:spacing w:before="0" w:after="120" w:line="240" w:lineRule="auto"/>
        <w:rPr>
          <w:lang w:val="fr-FR"/>
        </w:rPr>
      </w:pPr>
    </w:p>
    <w:p w:rsidR="003223F6" w:rsidRPr="003F305B" w:rsidRDefault="003223F6" w:rsidP="0028121F">
      <w:pPr>
        <w:spacing w:line="240" w:lineRule="auto"/>
        <w:rPr>
          <w:b/>
          <w:lang w:val="fr-FR"/>
        </w:rPr>
      </w:pPr>
      <w:r w:rsidRPr="003F305B">
        <w:rPr>
          <w:b/>
          <w:lang w:val="fr-FR"/>
        </w:rPr>
        <w:t>Total des ventes du Groupe VP+VU par régions</w:t>
      </w:r>
    </w:p>
    <w:p w:rsidR="003223F6" w:rsidRPr="00263D38" w:rsidRDefault="003223F6" w:rsidP="00C62E87">
      <w:pPr>
        <w:spacing w:before="0" w:line="240" w:lineRule="auto"/>
        <w:rPr>
          <w:szCs w:val="20"/>
          <w:lang w:val="fr-FR"/>
        </w:rPr>
      </w:pPr>
    </w:p>
    <w:bookmarkStart w:id="5" w:name="_MON_1433524519"/>
    <w:bookmarkEnd w:id="5"/>
    <w:p w:rsidR="003223F6" w:rsidRPr="003F305B" w:rsidRDefault="003223F6" w:rsidP="00CF07D1">
      <w:pPr>
        <w:rPr>
          <w:lang w:val="fr-FR"/>
        </w:rPr>
      </w:pPr>
      <w:r w:rsidRPr="003F305B">
        <w:rPr>
          <w:lang w:val="fr-FR"/>
        </w:rPr>
        <w:object w:dxaOrig="7550" w:dyaOrig="3219">
          <v:shape id="_x0000_i1028" type="#_x0000_t75" style="width:366pt;height:154.5pt" o:ole="">
            <v:imagedata r:id="rId9" o:title=""/>
          </v:shape>
          <o:OLEObject Type="Embed" ProgID="Excel.Sheet.12" ShapeID="_x0000_i1028" DrawAspect="Content" ObjectID="_1435066280" r:id="rId10"/>
        </w:object>
      </w:r>
    </w:p>
    <w:p w:rsidR="003223F6" w:rsidRPr="003F305B" w:rsidRDefault="003223F6" w:rsidP="00915AEB">
      <w:pPr>
        <w:spacing w:before="0" w:line="240" w:lineRule="auto"/>
        <w:rPr>
          <w:sz w:val="12"/>
          <w:szCs w:val="12"/>
          <w:lang w:val="fr-FR"/>
        </w:rPr>
      </w:pPr>
    </w:p>
    <w:p w:rsidR="003223F6" w:rsidRPr="003F305B" w:rsidRDefault="003223F6" w:rsidP="00915AEB">
      <w:pPr>
        <w:snapToGrid/>
        <w:spacing w:before="0" w:line="240" w:lineRule="auto"/>
        <w:ind w:left="1134"/>
        <w:rPr>
          <w:rFonts w:eastAsia="Times New Roman" w:cs="Arial"/>
          <w:i/>
          <w:sz w:val="16"/>
          <w:szCs w:val="16"/>
          <w:lang w:val="fr-FR" w:eastAsia="fr-FR"/>
        </w:rPr>
      </w:pPr>
      <w:r w:rsidRPr="003F305B">
        <w:rPr>
          <w:rFonts w:eastAsia="Times New Roman" w:cs="Arial"/>
          <w:i/>
          <w:sz w:val="16"/>
          <w:szCs w:val="16"/>
          <w:lang w:val="fr-FR" w:eastAsia="fr-FR"/>
        </w:rPr>
        <w:t>* Europe = UE (2</w:t>
      </w:r>
      <w:r>
        <w:rPr>
          <w:rFonts w:eastAsia="Times New Roman" w:cs="Arial"/>
          <w:i/>
          <w:sz w:val="16"/>
          <w:szCs w:val="16"/>
          <w:lang w:val="fr-FR" w:eastAsia="fr-FR"/>
        </w:rPr>
        <w:t>8</w:t>
      </w:r>
      <w:r w:rsidRPr="003F305B">
        <w:rPr>
          <w:rFonts w:eastAsia="Times New Roman" w:cs="Arial"/>
          <w:i/>
          <w:sz w:val="16"/>
          <w:szCs w:val="16"/>
          <w:lang w:val="fr-FR" w:eastAsia="fr-FR"/>
        </w:rPr>
        <w:t xml:space="preserve"> pays - Bulgarie &amp; </w:t>
      </w:r>
      <w:r>
        <w:rPr>
          <w:rFonts w:eastAsia="Times New Roman" w:cs="Arial"/>
          <w:i/>
          <w:sz w:val="16"/>
          <w:szCs w:val="16"/>
          <w:lang w:val="fr-FR" w:eastAsia="fr-FR"/>
        </w:rPr>
        <w:t xml:space="preserve">Roumanie) + Balkans (5 pays) + </w:t>
      </w:r>
      <w:r w:rsidRPr="003F305B">
        <w:rPr>
          <w:rFonts w:eastAsia="Times New Roman" w:cs="Arial"/>
          <w:i/>
          <w:sz w:val="16"/>
          <w:szCs w:val="16"/>
          <w:lang w:val="fr-FR" w:eastAsia="fr-FR"/>
        </w:rPr>
        <w:t>Islande, Norvège &amp; Suisse</w:t>
      </w:r>
    </w:p>
    <w:p w:rsidR="003223F6" w:rsidRDefault="003223F6" w:rsidP="00E47BEC">
      <w:pPr>
        <w:spacing w:before="0" w:after="120" w:line="240" w:lineRule="auto"/>
        <w:rPr>
          <w:lang w:val="fr-FR"/>
        </w:rPr>
      </w:pPr>
    </w:p>
    <w:p w:rsidR="003223F6" w:rsidRPr="003F305B" w:rsidRDefault="003223F6" w:rsidP="00E47BEC">
      <w:pPr>
        <w:spacing w:before="0" w:after="120" w:line="240" w:lineRule="auto"/>
        <w:rPr>
          <w:lang w:val="fr-FR"/>
        </w:rPr>
      </w:pPr>
    </w:p>
    <w:p w:rsidR="003223F6" w:rsidRPr="003F305B" w:rsidRDefault="003223F6" w:rsidP="0028121F">
      <w:pPr>
        <w:spacing w:line="240" w:lineRule="auto"/>
        <w:rPr>
          <w:b/>
          <w:lang w:val="fr-FR"/>
        </w:rPr>
      </w:pPr>
      <w:r w:rsidRPr="003F305B">
        <w:rPr>
          <w:b/>
          <w:lang w:val="fr-FR"/>
        </w:rPr>
        <w:t>Les 15 principaux marchés du Groupe à fin juin 2013</w:t>
      </w:r>
    </w:p>
    <w:p w:rsidR="003223F6" w:rsidRPr="00263D38" w:rsidRDefault="003223F6" w:rsidP="00C62E87">
      <w:pPr>
        <w:spacing w:before="0" w:line="240" w:lineRule="auto"/>
        <w:rPr>
          <w:szCs w:val="20"/>
          <w:lang w:val="fr-FR"/>
        </w:rPr>
      </w:pPr>
    </w:p>
    <w:bookmarkStart w:id="6" w:name="_MON_1433524917"/>
    <w:bookmarkEnd w:id="6"/>
    <w:p w:rsidR="003223F6" w:rsidRPr="003F305B" w:rsidRDefault="003223F6" w:rsidP="00547E1A">
      <w:pPr>
        <w:rPr>
          <w:lang w:val="fr-FR"/>
        </w:rPr>
      </w:pPr>
      <w:r w:rsidRPr="003F305B">
        <w:rPr>
          <w:lang w:val="fr-FR"/>
        </w:rPr>
        <w:object w:dxaOrig="7418" w:dyaOrig="4382">
          <v:shape id="_x0000_i1029" type="#_x0000_t75" style="width:352.5pt;height:208.5pt" o:ole="">
            <v:imagedata r:id="rId11" o:title=""/>
          </v:shape>
          <o:OLEObject Type="Embed" ProgID="Excel.Sheet.12" ShapeID="_x0000_i1029" DrawAspect="Content" ObjectID="_1435066281" r:id="rId12"/>
        </w:object>
      </w:r>
    </w:p>
    <w:sectPr w:rsidR="003223F6" w:rsidRPr="003F305B" w:rsidSect="00546AF8">
      <w:footerReference w:type="default" r:id="rId13"/>
      <w:headerReference w:type="first" r:id="rId14"/>
      <w:footerReference w:type="first" r:id="rId15"/>
      <w:pgSz w:w="11909" w:h="16834" w:code="9"/>
      <w:pgMar w:top="567" w:right="1707" w:bottom="1134" w:left="567" w:header="53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F6" w:rsidRDefault="003223F6" w:rsidP="00CF07D1">
      <w:r>
        <w:separator/>
      </w:r>
    </w:p>
  </w:endnote>
  <w:endnote w:type="continuationSeparator" w:id="0">
    <w:p w:rsidR="003223F6" w:rsidRDefault="003223F6" w:rsidP="00CF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6" w:rsidRPr="000B676E" w:rsidRDefault="003223F6" w:rsidP="000B676E">
    <w:pPr>
      <w:spacing w:line="240" w:lineRule="auto"/>
      <w:ind w:left="1138" w:hanging="58"/>
      <w:rPr>
        <w:rFonts w:ascii="Helvetica" w:hAnsi="Helvetica" w:cs="Helvetica"/>
        <w:b/>
        <w:bCs/>
        <w:noProof/>
        <w:lang w:val="fr-FR"/>
      </w:rPr>
    </w:pPr>
    <w:r w:rsidRPr="000B676E">
      <w:rPr>
        <w:rFonts w:ascii="Helvetica" w:hAnsi="Helvetica" w:cs="Helvetica"/>
        <w:b/>
        <w:bCs/>
        <w:noProof/>
        <w:lang w:val="fr-FR"/>
      </w:rPr>
      <w:t>Renault Belgique Luxembourg - Direction de la Communication</w:t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23F6" w:rsidRPr="000B676E" w:rsidRDefault="003223F6" w:rsidP="000B676E">
    <w:pPr>
      <w:spacing w:line="240" w:lineRule="auto"/>
      <w:ind w:left="1138" w:hanging="58"/>
      <w:rPr>
        <w:rFonts w:ascii="Helvetica" w:hAnsi="Helvetica" w:cs="Helvetica"/>
        <w:bCs/>
        <w:lang w:val="fr-FR"/>
      </w:rPr>
    </w:pPr>
    <w:r w:rsidRPr="000B676E">
      <w:rPr>
        <w:rFonts w:ascii="Helvetica" w:hAnsi="Helvetica" w:cs="Helvetica"/>
        <w:bCs/>
        <w:noProof/>
        <w:lang w:val="fr-FR"/>
      </w:rPr>
      <w:t>Avenue Mozart 20, 1620 Drogenbos</w:t>
    </w:r>
  </w:p>
  <w:p w:rsidR="003223F6" w:rsidRPr="000B676E" w:rsidRDefault="003223F6" w:rsidP="000B676E">
    <w:pPr>
      <w:pStyle w:val="Footer"/>
      <w:spacing w:line="240" w:lineRule="auto"/>
      <w:ind w:left="1138" w:right="360" w:hanging="58"/>
      <w:rPr>
        <w:rFonts w:ascii="Helvetica" w:hAnsi="Helvetica" w:cs="Helvetica"/>
        <w:noProof/>
        <w:lang w:val="fr-FR"/>
      </w:rPr>
    </w:pPr>
    <w:r w:rsidRPr="000B676E">
      <w:rPr>
        <w:rFonts w:ascii="Helvetica" w:hAnsi="Helvetica" w:cs="Helvetica"/>
        <w:noProof/>
        <w:lang w:val="fr-FR"/>
      </w:rPr>
      <w:t xml:space="preserve">Tel.: + 32 (0)2 334 78 51 – Fax: + 32 (0)2 334 76 18 </w:t>
    </w:r>
  </w:p>
  <w:p w:rsidR="003223F6" w:rsidRPr="000B676E" w:rsidRDefault="003223F6" w:rsidP="000B676E">
    <w:pPr>
      <w:pStyle w:val="Footer"/>
      <w:spacing w:line="240" w:lineRule="auto"/>
      <w:ind w:left="1138" w:right="360" w:hanging="58"/>
      <w:rPr>
        <w:rFonts w:ascii="Helvetica" w:hAnsi="Helvetica" w:cs="Helvetica"/>
        <w:noProof/>
        <w:lang w:val="pt-BR"/>
      </w:rPr>
    </w:pPr>
    <w:r w:rsidRPr="000B676E">
      <w:rPr>
        <w:rFonts w:ascii="Helvetica" w:hAnsi="Helvetica" w:cs="Helvetica"/>
        <w:noProof/>
        <w:lang w:val="pt-BR"/>
      </w:rPr>
      <w:t xml:space="preserve">Site : </w:t>
    </w:r>
    <w:hyperlink r:id="rId1" w:history="1">
      <w:r w:rsidRPr="000B676E">
        <w:rPr>
          <w:rStyle w:val="Hyperlink"/>
          <w:rFonts w:ascii="Helvetica" w:hAnsi="Helvetica" w:cs="Helvetica"/>
          <w:noProof/>
          <w:u w:val="none"/>
          <w:lang w:val="pt-BR"/>
        </w:rPr>
        <w:t>www.renault.</w:t>
      </w:r>
      <w:r w:rsidRPr="000B676E">
        <w:rPr>
          <w:rStyle w:val="Hyperlink"/>
          <w:rFonts w:ascii="Helvetica" w:hAnsi="Helvetica" w:cs="Helvetica"/>
          <w:noProof/>
          <w:u w:val="none"/>
          <w:lang w:val="fr-FR"/>
        </w:rPr>
        <w:t>be</w:t>
      </w:r>
    </w:hyperlink>
    <w:r w:rsidRPr="000B676E">
      <w:rPr>
        <w:rFonts w:ascii="Helvetica" w:hAnsi="Helvetica" w:cs="Helvetica"/>
        <w:noProof/>
        <w:lang w:val="pt-BR"/>
      </w:rPr>
      <w:t xml:space="preserve"> et </w:t>
    </w:r>
    <w:hyperlink r:id="rId2" w:history="1">
      <w:r w:rsidRPr="000B676E">
        <w:rPr>
          <w:rStyle w:val="Hyperlink"/>
          <w:rFonts w:ascii="Helvetica" w:hAnsi="Helvetica" w:cs="Helvetica"/>
          <w:noProof/>
          <w:u w:val="none"/>
          <w:lang w:val="pt-BR"/>
        </w:rPr>
        <w:t>www.media.renault.be</w:t>
      </w:r>
    </w:hyperlink>
  </w:p>
  <w:p w:rsidR="003223F6" w:rsidRPr="000B676E" w:rsidRDefault="003223F6" w:rsidP="000B676E">
    <w:pPr>
      <w:pStyle w:val="Footer"/>
      <w:spacing w:line="240" w:lineRule="auto"/>
      <w:ind w:left="1138" w:hanging="58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6" w:rsidRPr="000B676E" w:rsidRDefault="003223F6" w:rsidP="000B676E">
    <w:pPr>
      <w:spacing w:line="240" w:lineRule="auto"/>
      <w:ind w:hanging="58"/>
      <w:rPr>
        <w:rFonts w:ascii="Helvetica" w:hAnsi="Helvetica" w:cs="Helvetica"/>
        <w:b/>
        <w:bCs/>
        <w:noProof/>
        <w:lang w:val="fr-FR"/>
      </w:rPr>
    </w:pPr>
    <w:r w:rsidRPr="000B676E">
      <w:rPr>
        <w:rFonts w:ascii="Helvetica" w:hAnsi="Helvetica" w:cs="Helvetica"/>
        <w:b/>
        <w:bCs/>
        <w:noProof/>
        <w:lang w:val="fr-FR"/>
      </w:rPr>
      <w:t>Renault Belgique Luxembourg - Direction de la Communication</w:t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Fonts w:ascii="Helvetica" w:hAnsi="Helvetica" w:cs="Helvetica"/>
        <w:b/>
        <w:bCs/>
        <w:noProof/>
        <w:lang w:val="fr-F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23F6" w:rsidRPr="000B676E" w:rsidRDefault="003223F6" w:rsidP="000B676E">
    <w:pPr>
      <w:spacing w:line="240" w:lineRule="auto"/>
      <w:ind w:hanging="58"/>
      <w:rPr>
        <w:rFonts w:ascii="Helvetica" w:hAnsi="Helvetica" w:cs="Helvetica"/>
        <w:bCs/>
        <w:lang w:val="fr-FR"/>
      </w:rPr>
    </w:pPr>
    <w:r w:rsidRPr="000B676E">
      <w:rPr>
        <w:rFonts w:ascii="Helvetica" w:hAnsi="Helvetica" w:cs="Helvetica"/>
        <w:bCs/>
        <w:noProof/>
        <w:lang w:val="fr-FR"/>
      </w:rPr>
      <w:t>Avenue Mozart 20, 1620 Drogenbos</w:t>
    </w:r>
  </w:p>
  <w:p w:rsidR="003223F6" w:rsidRPr="000B676E" w:rsidRDefault="003223F6" w:rsidP="000B676E">
    <w:pPr>
      <w:pStyle w:val="Footer"/>
      <w:spacing w:line="240" w:lineRule="auto"/>
      <w:ind w:left="1134" w:right="360" w:hanging="58"/>
      <w:rPr>
        <w:rFonts w:ascii="Helvetica" w:hAnsi="Helvetica" w:cs="Helvetica"/>
        <w:noProof/>
        <w:lang w:val="fr-FR"/>
      </w:rPr>
    </w:pPr>
    <w:r w:rsidRPr="000B676E">
      <w:rPr>
        <w:rFonts w:ascii="Helvetica" w:hAnsi="Helvetica" w:cs="Helvetica"/>
        <w:noProof/>
        <w:lang w:val="fr-FR"/>
      </w:rPr>
      <w:t xml:space="preserve">Tel.: + 32 (0)2 334 78 51 – Fax: + 32 (0)2 334 76 18 </w:t>
    </w:r>
  </w:p>
  <w:p w:rsidR="003223F6" w:rsidRDefault="003223F6" w:rsidP="000B676E">
    <w:pPr>
      <w:pStyle w:val="Footer"/>
      <w:spacing w:line="240" w:lineRule="auto"/>
      <w:ind w:left="1134" w:right="360" w:hanging="58"/>
      <w:rPr>
        <w:rFonts w:ascii="Helvetica" w:hAnsi="Helvetica" w:cs="Helvetica"/>
        <w:noProof/>
        <w:lang w:val="pt-BR"/>
      </w:rPr>
    </w:pPr>
    <w:r w:rsidRPr="00EF7A68">
      <w:rPr>
        <w:rFonts w:ascii="Helvetica" w:hAnsi="Helvetica" w:cs="Helvetica"/>
        <w:noProof/>
        <w:lang w:val="pt-BR"/>
      </w:rPr>
      <w:t xml:space="preserve">Site : </w:t>
    </w:r>
    <w:hyperlink r:id="rId1" w:history="1">
      <w:r w:rsidRPr="00BB4636">
        <w:rPr>
          <w:rStyle w:val="Hyperlink"/>
          <w:rFonts w:ascii="Helvetica" w:hAnsi="Helvetica" w:cs="Helvetica"/>
          <w:noProof/>
          <w:lang w:val="pt-BR"/>
        </w:rPr>
        <w:t>www.renault.</w:t>
      </w:r>
      <w:r w:rsidRPr="000B676E">
        <w:rPr>
          <w:rStyle w:val="Hyperlink"/>
          <w:rFonts w:ascii="Helvetica" w:hAnsi="Helvetica" w:cs="Helvetica"/>
          <w:noProof/>
          <w:lang w:val="fr-FR"/>
        </w:rPr>
        <w:t>be</w:t>
      </w:r>
    </w:hyperlink>
    <w:r>
      <w:rPr>
        <w:rFonts w:ascii="Helvetica" w:hAnsi="Helvetica" w:cs="Helvetica"/>
        <w:noProof/>
        <w:lang w:val="pt-BR"/>
      </w:rPr>
      <w:t xml:space="preserve"> et </w:t>
    </w:r>
    <w:hyperlink r:id="rId2" w:history="1">
      <w:r w:rsidRPr="00A57DB3">
        <w:rPr>
          <w:rStyle w:val="Hyperlink"/>
          <w:rFonts w:ascii="Helvetica" w:hAnsi="Helvetica" w:cs="Helvetica"/>
          <w:noProof/>
          <w:lang w:val="pt-BR"/>
        </w:rPr>
        <w:t>www.media.renault.be</w:t>
      </w:r>
    </w:hyperlink>
  </w:p>
  <w:p w:rsidR="003223F6" w:rsidRPr="0006770D" w:rsidRDefault="003223F6" w:rsidP="00932B51">
    <w:pPr>
      <w:pStyle w:val="Pieddepagecom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F6" w:rsidRDefault="003223F6" w:rsidP="00CF07D1">
      <w:r>
        <w:separator/>
      </w:r>
    </w:p>
  </w:footnote>
  <w:footnote w:type="continuationSeparator" w:id="0">
    <w:p w:rsidR="003223F6" w:rsidRDefault="003223F6" w:rsidP="00CF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6" w:rsidRPr="001E01DA" w:rsidRDefault="003223F6" w:rsidP="00C90266">
    <w:pPr>
      <w:pStyle w:val="Header"/>
      <w:rPr>
        <w:color w:val="3B3C3C"/>
        <w:sz w:val="28"/>
      </w:rPr>
    </w:pPr>
    <w:r>
      <w:rPr>
        <w:noProof/>
        <w:lang w:val="en-US"/>
      </w:rPr>
      <w:pict>
        <v:line id="Line 1" o:spid="_x0000_s2049" style="position:absolute;z-index:251660288;visibility:visible" from="162.45pt,-.9pt" to="162.45pt,53.1pt" wrapcoords="0 1 0 72 2 72 2 1 0 1">
          <w10:wrap type="tight"/>
        </v:line>
      </w:pict>
    </w:r>
    <w:r w:rsidRPr="002F7AB8">
      <w:rPr>
        <w:rFonts w:ascii="TradeGothic Bold" w:hAnsi="TradeGothic Bold"/>
        <w:noProof/>
        <w:color w:val="3B3C3C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i1026" type="#_x0000_t75" alt="LOGOTYPE_quadri" style="width:53.25pt;height:53.25pt;visibility:visible">
          <v:imagedata r:id="rId1" o:title=""/>
        </v:shape>
      </w:pict>
    </w:r>
    <w:r>
      <w:rPr>
        <w:rFonts w:ascii="TradeGothic Bold" w:hAnsi="TradeGothic Bold"/>
        <w:color w:val="3B3C3C"/>
      </w:rPr>
      <w:tab/>
    </w:r>
    <w:r>
      <w:t>COMMUNIQUÉ</w:t>
    </w:r>
    <w:r w:rsidRPr="001E01DA">
      <w:t xml:space="preserve"> DE PRESSE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2F0"/>
    <w:multiLevelType w:val="hybridMultilevel"/>
    <w:tmpl w:val="4692D8C0"/>
    <w:lvl w:ilvl="0" w:tplc="A420FB60">
      <w:numFmt w:val="bullet"/>
      <w:lvlText w:val="-"/>
      <w:lvlJc w:val="left"/>
      <w:pPr>
        <w:ind w:left="150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1E553E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A2F009E"/>
    <w:multiLevelType w:val="hybridMultilevel"/>
    <w:tmpl w:val="516E712A"/>
    <w:lvl w:ilvl="0" w:tplc="6060BF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5BD"/>
    <w:multiLevelType w:val="hybridMultilevel"/>
    <w:tmpl w:val="32D6871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538719E6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6C03E69"/>
    <w:multiLevelType w:val="hybridMultilevel"/>
    <w:tmpl w:val="FE406FE8"/>
    <w:lvl w:ilvl="0" w:tplc="1C60D52A">
      <w:start w:val="1"/>
      <w:numFmt w:val="bullet"/>
      <w:pStyle w:val="Heading3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57EC53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672010B9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6E3F2ED9"/>
    <w:multiLevelType w:val="hybridMultilevel"/>
    <w:tmpl w:val="FF7CCA04"/>
    <w:lvl w:ilvl="0" w:tplc="A40E4B16">
      <w:numFmt w:val="bullet"/>
      <w:lvlText w:val="-"/>
      <w:lvlJc w:val="left"/>
      <w:pPr>
        <w:ind w:left="150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CD"/>
    <w:rsid w:val="00000025"/>
    <w:rsid w:val="00007912"/>
    <w:rsid w:val="0001117D"/>
    <w:rsid w:val="00011EF1"/>
    <w:rsid w:val="00014A62"/>
    <w:rsid w:val="000213B3"/>
    <w:rsid w:val="00021553"/>
    <w:rsid w:val="00022422"/>
    <w:rsid w:val="0002417D"/>
    <w:rsid w:val="00030B3C"/>
    <w:rsid w:val="00031566"/>
    <w:rsid w:val="00031FD2"/>
    <w:rsid w:val="0003363A"/>
    <w:rsid w:val="00033DF7"/>
    <w:rsid w:val="00035AA8"/>
    <w:rsid w:val="000414DC"/>
    <w:rsid w:val="00046839"/>
    <w:rsid w:val="00056DB2"/>
    <w:rsid w:val="000578F3"/>
    <w:rsid w:val="00061600"/>
    <w:rsid w:val="00063596"/>
    <w:rsid w:val="0006770D"/>
    <w:rsid w:val="00074B22"/>
    <w:rsid w:val="00074F08"/>
    <w:rsid w:val="00084606"/>
    <w:rsid w:val="00084F6A"/>
    <w:rsid w:val="00086816"/>
    <w:rsid w:val="00086902"/>
    <w:rsid w:val="0008730E"/>
    <w:rsid w:val="00087646"/>
    <w:rsid w:val="00092E21"/>
    <w:rsid w:val="00095241"/>
    <w:rsid w:val="0009640A"/>
    <w:rsid w:val="000A2DAA"/>
    <w:rsid w:val="000A732D"/>
    <w:rsid w:val="000B676E"/>
    <w:rsid w:val="000C45FD"/>
    <w:rsid w:val="000D07CD"/>
    <w:rsid w:val="000D5476"/>
    <w:rsid w:val="000D5DF0"/>
    <w:rsid w:val="000D7459"/>
    <w:rsid w:val="000D79DC"/>
    <w:rsid w:val="000E19CB"/>
    <w:rsid w:val="000E2B35"/>
    <w:rsid w:val="000E350A"/>
    <w:rsid w:val="000F09BD"/>
    <w:rsid w:val="000F2078"/>
    <w:rsid w:val="000F5A5C"/>
    <w:rsid w:val="00101228"/>
    <w:rsid w:val="001034E6"/>
    <w:rsid w:val="00112D84"/>
    <w:rsid w:val="00113CF1"/>
    <w:rsid w:val="00114CB5"/>
    <w:rsid w:val="00117D11"/>
    <w:rsid w:val="00123A6E"/>
    <w:rsid w:val="0012592E"/>
    <w:rsid w:val="00125F03"/>
    <w:rsid w:val="0012601E"/>
    <w:rsid w:val="0012680E"/>
    <w:rsid w:val="00135357"/>
    <w:rsid w:val="0013544F"/>
    <w:rsid w:val="00137D60"/>
    <w:rsid w:val="00143743"/>
    <w:rsid w:val="00145034"/>
    <w:rsid w:val="00145274"/>
    <w:rsid w:val="00145E56"/>
    <w:rsid w:val="00155955"/>
    <w:rsid w:val="00163CDF"/>
    <w:rsid w:val="00172F59"/>
    <w:rsid w:val="00175246"/>
    <w:rsid w:val="001908A3"/>
    <w:rsid w:val="001923DA"/>
    <w:rsid w:val="001A39FB"/>
    <w:rsid w:val="001A459E"/>
    <w:rsid w:val="001A532B"/>
    <w:rsid w:val="001A54B3"/>
    <w:rsid w:val="001A6F97"/>
    <w:rsid w:val="001A7D0F"/>
    <w:rsid w:val="001C0497"/>
    <w:rsid w:val="001C431E"/>
    <w:rsid w:val="001C795E"/>
    <w:rsid w:val="001D183C"/>
    <w:rsid w:val="001D71D2"/>
    <w:rsid w:val="001E01DA"/>
    <w:rsid w:val="001E02B8"/>
    <w:rsid w:val="001E1CFE"/>
    <w:rsid w:val="001E35BE"/>
    <w:rsid w:val="001F129B"/>
    <w:rsid w:val="001F413C"/>
    <w:rsid w:val="001F41B8"/>
    <w:rsid w:val="001F529B"/>
    <w:rsid w:val="001F5E4B"/>
    <w:rsid w:val="001F6A3E"/>
    <w:rsid w:val="00214B02"/>
    <w:rsid w:val="0021579C"/>
    <w:rsid w:val="002176AE"/>
    <w:rsid w:val="00221957"/>
    <w:rsid w:val="002311B8"/>
    <w:rsid w:val="00231AD6"/>
    <w:rsid w:val="002347C7"/>
    <w:rsid w:val="002361CE"/>
    <w:rsid w:val="00237ACC"/>
    <w:rsid w:val="00245209"/>
    <w:rsid w:val="0024553E"/>
    <w:rsid w:val="00246490"/>
    <w:rsid w:val="0025053F"/>
    <w:rsid w:val="00251FDC"/>
    <w:rsid w:val="0025388D"/>
    <w:rsid w:val="002542E5"/>
    <w:rsid w:val="002567A6"/>
    <w:rsid w:val="0026320D"/>
    <w:rsid w:val="00263734"/>
    <w:rsid w:val="00263D38"/>
    <w:rsid w:val="00272F6F"/>
    <w:rsid w:val="00273350"/>
    <w:rsid w:val="00275EF5"/>
    <w:rsid w:val="00280A22"/>
    <w:rsid w:val="0028121F"/>
    <w:rsid w:val="002837B2"/>
    <w:rsid w:val="00291827"/>
    <w:rsid w:val="00294CFE"/>
    <w:rsid w:val="002975E4"/>
    <w:rsid w:val="002A2E4F"/>
    <w:rsid w:val="002A42B6"/>
    <w:rsid w:val="002B57C7"/>
    <w:rsid w:val="002B619A"/>
    <w:rsid w:val="002B7694"/>
    <w:rsid w:val="002C45F3"/>
    <w:rsid w:val="002D1FEE"/>
    <w:rsid w:val="002D30BC"/>
    <w:rsid w:val="002D3527"/>
    <w:rsid w:val="002D58B8"/>
    <w:rsid w:val="002F05D5"/>
    <w:rsid w:val="002F7AB8"/>
    <w:rsid w:val="00303106"/>
    <w:rsid w:val="00304930"/>
    <w:rsid w:val="00313790"/>
    <w:rsid w:val="00315BD3"/>
    <w:rsid w:val="00315FCD"/>
    <w:rsid w:val="003223F6"/>
    <w:rsid w:val="00322653"/>
    <w:rsid w:val="00326A19"/>
    <w:rsid w:val="00340381"/>
    <w:rsid w:val="00345E27"/>
    <w:rsid w:val="00350D0A"/>
    <w:rsid w:val="00352839"/>
    <w:rsid w:val="003533D8"/>
    <w:rsid w:val="003573F7"/>
    <w:rsid w:val="00366AD9"/>
    <w:rsid w:val="00376077"/>
    <w:rsid w:val="00380330"/>
    <w:rsid w:val="003842D3"/>
    <w:rsid w:val="00384DF4"/>
    <w:rsid w:val="003909ED"/>
    <w:rsid w:val="003A62EC"/>
    <w:rsid w:val="003A7DAC"/>
    <w:rsid w:val="003B0658"/>
    <w:rsid w:val="003B1399"/>
    <w:rsid w:val="003B654B"/>
    <w:rsid w:val="003C5E57"/>
    <w:rsid w:val="003D089E"/>
    <w:rsid w:val="003D399D"/>
    <w:rsid w:val="003D3AC8"/>
    <w:rsid w:val="003D5656"/>
    <w:rsid w:val="003D7FED"/>
    <w:rsid w:val="003E1B2C"/>
    <w:rsid w:val="003E3E3E"/>
    <w:rsid w:val="003F305B"/>
    <w:rsid w:val="003F3E52"/>
    <w:rsid w:val="003F66FF"/>
    <w:rsid w:val="00411F35"/>
    <w:rsid w:val="00413E3C"/>
    <w:rsid w:val="0041461C"/>
    <w:rsid w:val="00417379"/>
    <w:rsid w:val="004210B8"/>
    <w:rsid w:val="00425612"/>
    <w:rsid w:val="00432D36"/>
    <w:rsid w:val="00434ABF"/>
    <w:rsid w:val="00441E8A"/>
    <w:rsid w:val="00450EE7"/>
    <w:rsid w:val="00451404"/>
    <w:rsid w:val="00456879"/>
    <w:rsid w:val="00467B67"/>
    <w:rsid w:val="0047098D"/>
    <w:rsid w:val="00471CF7"/>
    <w:rsid w:val="00484DDF"/>
    <w:rsid w:val="00492B7D"/>
    <w:rsid w:val="00495E71"/>
    <w:rsid w:val="00497485"/>
    <w:rsid w:val="004A0FF4"/>
    <w:rsid w:val="004A471D"/>
    <w:rsid w:val="004A69C0"/>
    <w:rsid w:val="004B5A53"/>
    <w:rsid w:val="004B6ED7"/>
    <w:rsid w:val="004C2FC3"/>
    <w:rsid w:val="004D0200"/>
    <w:rsid w:val="004D4A55"/>
    <w:rsid w:val="004D66C0"/>
    <w:rsid w:val="004E20B4"/>
    <w:rsid w:val="004E3FDA"/>
    <w:rsid w:val="004E65C4"/>
    <w:rsid w:val="004E713C"/>
    <w:rsid w:val="004E72B6"/>
    <w:rsid w:val="004E7671"/>
    <w:rsid w:val="004E7BB0"/>
    <w:rsid w:val="004F7CCB"/>
    <w:rsid w:val="005027B4"/>
    <w:rsid w:val="0051245E"/>
    <w:rsid w:val="00514787"/>
    <w:rsid w:val="00520AD6"/>
    <w:rsid w:val="0052561D"/>
    <w:rsid w:val="00525C59"/>
    <w:rsid w:val="005272A7"/>
    <w:rsid w:val="0053434D"/>
    <w:rsid w:val="00540531"/>
    <w:rsid w:val="00540C75"/>
    <w:rsid w:val="005450DF"/>
    <w:rsid w:val="0054658D"/>
    <w:rsid w:val="00546AF8"/>
    <w:rsid w:val="00547E1A"/>
    <w:rsid w:val="00552BA7"/>
    <w:rsid w:val="00552FD4"/>
    <w:rsid w:val="00553298"/>
    <w:rsid w:val="0056106E"/>
    <w:rsid w:val="0056378C"/>
    <w:rsid w:val="005651B2"/>
    <w:rsid w:val="00566A09"/>
    <w:rsid w:val="005678D3"/>
    <w:rsid w:val="00570404"/>
    <w:rsid w:val="00570C0C"/>
    <w:rsid w:val="0057478A"/>
    <w:rsid w:val="00574BEE"/>
    <w:rsid w:val="00574D07"/>
    <w:rsid w:val="00574DB5"/>
    <w:rsid w:val="00576085"/>
    <w:rsid w:val="00583062"/>
    <w:rsid w:val="005878AC"/>
    <w:rsid w:val="00590651"/>
    <w:rsid w:val="0059079D"/>
    <w:rsid w:val="0059218A"/>
    <w:rsid w:val="00592BF3"/>
    <w:rsid w:val="005955A9"/>
    <w:rsid w:val="00597143"/>
    <w:rsid w:val="005B2C48"/>
    <w:rsid w:val="005C26ED"/>
    <w:rsid w:val="005C3E60"/>
    <w:rsid w:val="005D21F0"/>
    <w:rsid w:val="005D2CDD"/>
    <w:rsid w:val="005D5464"/>
    <w:rsid w:val="005D5B8A"/>
    <w:rsid w:val="005D70DB"/>
    <w:rsid w:val="005E183F"/>
    <w:rsid w:val="005E296D"/>
    <w:rsid w:val="005E47FC"/>
    <w:rsid w:val="005F1647"/>
    <w:rsid w:val="005F1E8D"/>
    <w:rsid w:val="005F2118"/>
    <w:rsid w:val="00603F10"/>
    <w:rsid w:val="0060789A"/>
    <w:rsid w:val="00610496"/>
    <w:rsid w:val="00612038"/>
    <w:rsid w:val="006167AE"/>
    <w:rsid w:val="006211A2"/>
    <w:rsid w:val="00622F22"/>
    <w:rsid w:val="00625F04"/>
    <w:rsid w:val="006266F3"/>
    <w:rsid w:val="00627FA5"/>
    <w:rsid w:val="006351E1"/>
    <w:rsid w:val="006414C9"/>
    <w:rsid w:val="00643631"/>
    <w:rsid w:val="00650063"/>
    <w:rsid w:val="0066040C"/>
    <w:rsid w:val="00664032"/>
    <w:rsid w:val="00673BCF"/>
    <w:rsid w:val="00673D14"/>
    <w:rsid w:val="00674A14"/>
    <w:rsid w:val="00680D75"/>
    <w:rsid w:val="006826E6"/>
    <w:rsid w:val="0068506B"/>
    <w:rsid w:val="006856A0"/>
    <w:rsid w:val="00692AF8"/>
    <w:rsid w:val="006939A2"/>
    <w:rsid w:val="00695373"/>
    <w:rsid w:val="006973DC"/>
    <w:rsid w:val="006A4524"/>
    <w:rsid w:val="006A64DC"/>
    <w:rsid w:val="006A7B74"/>
    <w:rsid w:val="006B22D8"/>
    <w:rsid w:val="006B7105"/>
    <w:rsid w:val="006D195B"/>
    <w:rsid w:val="006D4FBA"/>
    <w:rsid w:val="006E13B3"/>
    <w:rsid w:val="006E2786"/>
    <w:rsid w:val="0070069C"/>
    <w:rsid w:val="007021CF"/>
    <w:rsid w:val="00706C38"/>
    <w:rsid w:val="007234BF"/>
    <w:rsid w:val="007243F4"/>
    <w:rsid w:val="00724680"/>
    <w:rsid w:val="00737A75"/>
    <w:rsid w:val="0075207F"/>
    <w:rsid w:val="00755E91"/>
    <w:rsid w:val="00760239"/>
    <w:rsid w:val="00762A59"/>
    <w:rsid w:val="00762DCD"/>
    <w:rsid w:val="00774F5B"/>
    <w:rsid w:val="007844DB"/>
    <w:rsid w:val="00784995"/>
    <w:rsid w:val="00785495"/>
    <w:rsid w:val="00792FB9"/>
    <w:rsid w:val="0079378D"/>
    <w:rsid w:val="00793F26"/>
    <w:rsid w:val="007963B8"/>
    <w:rsid w:val="007A6650"/>
    <w:rsid w:val="007B4BDC"/>
    <w:rsid w:val="007C061A"/>
    <w:rsid w:val="007C4905"/>
    <w:rsid w:val="007C49D6"/>
    <w:rsid w:val="007D0A34"/>
    <w:rsid w:val="007D4ECB"/>
    <w:rsid w:val="007E0323"/>
    <w:rsid w:val="007E1639"/>
    <w:rsid w:val="007F1039"/>
    <w:rsid w:val="007F3E9D"/>
    <w:rsid w:val="007F7286"/>
    <w:rsid w:val="0080025C"/>
    <w:rsid w:val="00801331"/>
    <w:rsid w:val="00804167"/>
    <w:rsid w:val="00805317"/>
    <w:rsid w:val="00805E87"/>
    <w:rsid w:val="008129E9"/>
    <w:rsid w:val="00817951"/>
    <w:rsid w:val="00822003"/>
    <w:rsid w:val="00823A78"/>
    <w:rsid w:val="00826038"/>
    <w:rsid w:val="00831595"/>
    <w:rsid w:val="00833522"/>
    <w:rsid w:val="0083479A"/>
    <w:rsid w:val="0086239F"/>
    <w:rsid w:val="00863B22"/>
    <w:rsid w:val="00866D4A"/>
    <w:rsid w:val="00866F85"/>
    <w:rsid w:val="00873ECB"/>
    <w:rsid w:val="008836E0"/>
    <w:rsid w:val="00890404"/>
    <w:rsid w:val="00893EAB"/>
    <w:rsid w:val="00895FD9"/>
    <w:rsid w:val="008A04A5"/>
    <w:rsid w:val="008A08D5"/>
    <w:rsid w:val="008A47F3"/>
    <w:rsid w:val="008A634E"/>
    <w:rsid w:val="008B2517"/>
    <w:rsid w:val="008B323C"/>
    <w:rsid w:val="008B43CD"/>
    <w:rsid w:val="008B58FC"/>
    <w:rsid w:val="008C3CF3"/>
    <w:rsid w:val="008C47D1"/>
    <w:rsid w:val="008C7FE6"/>
    <w:rsid w:val="008D20EB"/>
    <w:rsid w:val="008D6B02"/>
    <w:rsid w:val="008E0DE1"/>
    <w:rsid w:val="008E6E3A"/>
    <w:rsid w:val="00902300"/>
    <w:rsid w:val="00902807"/>
    <w:rsid w:val="00902EB2"/>
    <w:rsid w:val="009037D9"/>
    <w:rsid w:val="00903BE4"/>
    <w:rsid w:val="00907698"/>
    <w:rsid w:val="00911153"/>
    <w:rsid w:val="00913A4E"/>
    <w:rsid w:val="009140BB"/>
    <w:rsid w:val="00915AEB"/>
    <w:rsid w:val="009168EB"/>
    <w:rsid w:val="009243D9"/>
    <w:rsid w:val="00924BB9"/>
    <w:rsid w:val="00927108"/>
    <w:rsid w:val="00932B51"/>
    <w:rsid w:val="00933B01"/>
    <w:rsid w:val="00935AC7"/>
    <w:rsid w:val="00937B43"/>
    <w:rsid w:val="00940723"/>
    <w:rsid w:val="009410A0"/>
    <w:rsid w:val="00947CF3"/>
    <w:rsid w:val="00957699"/>
    <w:rsid w:val="009620B1"/>
    <w:rsid w:val="00970568"/>
    <w:rsid w:val="009715D1"/>
    <w:rsid w:val="00987D95"/>
    <w:rsid w:val="00990584"/>
    <w:rsid w:val="00992703"/>
    <w:rsid w:val="00995D58"/>
    <w:rsid w:val="00995E91"/>
    <w:rsid w:val="009A26C6"/>
    <w:rsid w:val="009A449D"/>
    <w:rsid w:val="009A7D12"/>
    <w:rsid w:val="009B0ACF"/>
    <w:rsid w:val="009B60E3"/>
    <w:rsid w:val="009C1265"/>
    <w:rsid w:val="009C55D2"/>
    <w:rsid w:val="009D1C50"/>
    <w:rsid w:val="009D2FFD"/>
    <w:rsid w:val="009D38EA"/>
    <w:rsid w:val="009E265B"/>
    <w:rsid w:val="009E38DF"/>
    <w:rsid w:val="009E5595"/>
    <w:rsid w:val="009F47D9"/>
    <w:rsid w:val="00A01D2A"/>
    <w:rsid w:val="00A20CD9"/>
    <w:rsid w:val="00A2213C"/>
    <w:rsid w:val="00A30835"/>
    <w:rsid w:val="00A35D05"/>
    <w:rsid w:val="00A4096B"/>
    <w:rsid w:val="00A42197"/>
    <w:rsid w:val="00A52070"/>
    <w:rsid w:val="00A54C5C"/>
    <w:rsid w:val="00A57A5B"/>
    <w:rsid w:val="00A57DB3"/>
    <w:rsid w:val="00A604D1"/>
    <w:rsid w:val="00A60627"/>
    <w:rsid w:val="00A64403"/>
    <w:rsid w:val="00A6578F"/>
    <w:rsid w:val="00A65878"/>
    <w:rsid w:val="00A6769C"/>
    <w:rsid w:val="00A67B89"/>
    <w:rsid w:val="00A67B8F"/>
    <w:rsid w:val="00A86E95"/>
    <w:rsid w:val="00A873B6"/>
    <w:rsid w:val="00A92DED"/>
    <w:rsid w:val="00AA1A9A"/>
    <w:rsid w:val="00AB48C9"/>
    <w:rsid w:val="00AC0855"/>
    <w:rsid w:val="00AD23B5"/>
    <w:rsid w:val="00AD2D47"/>
    <w:rsid w:val="00AD624A"/>
    <w:rsid w:val="00AD6BBB"/>
    <w:rsid w:val="00AE3D69"/>
    <w:rsid w:val="00AE69E0"/>
    <w:rsid w:val="00AF1548"/>
    <w:rsid w:val="00AF45EB"/>
    <w:rsid w:val="00B0050B"/>
    <w:rsid w:val="00B01A7A"/>
    <w:rsid w:val="00B0339A"/>
    <w:rsid w:val="00B03DE9"/>
    <w:rsid w:val="00B053B7"/>
    <w:rsid w:val="00B07464"/>
    <w:rsid w:val="00B13194"/>
    <w:rsid w:val="00B27ABF"/>
    <w:rsid w:val="00B34F64"/>
    <w:rsid w:val="00B404D9"/>
    <w:rsid w:val="00B43427"/>
    <w:rsid w:val="00B469EB"/>
    <w:rsid w:val="00B540E5"/>
    <w:rsid w:val="00B55199"/>
    <w:rsid w:val="00B60DB6"/>
    <w:rsid w:val="00B61244"/>
    <w:rsid w:val="00B61A0C"/>
    <w:rsid w:val="00B63239"/>
    <w:rsid w:val="00B636E6"/>
    <w:rsid w:val="00B63EE0"/>
    <w:rsid w:val="00B752D7"/>
    <w:rsid w:val="00B8366C"/>
    <w:rsid w:val="00B94C8E"/>
    <w:rsid w:val="00BA11E9"/>
    <w:rsid w:val="00BA4DA6"/>
    <w:rsid w:val="00BA5FE9"/>
    <w:rsid w:val="00BA76F1"/>
    <w:rsid w:val="00BA7EE3"/>
    <w:rsid w:val="00BB4636"/>
    <w:rsid w:val="00BC1979"/>
    <w:rsid w:val="00BC5B8B"/>
    <w:rsid w:val="00BD0EB8"/>
    <w:rsid w:val="00BD6703"/>
    <w:rsid w:val="00BD7BC8"/>
    <w:rsid w:val="00BE2C64"/>
    <w:rsid w:val="00BE3A23"/>
    <w:rsid w:val="00BE49D7"/>
    <w:rsid w:val="00BF1E47"/>
    <w:rsid w:val="00BF3ACA"/>
    <w:rsid w:val="00BF4DD1"/>
    <w:rsid w:val="00C00FBA"/>
    <w:rsid w:val="00C0668B"/>
    <w:rsid w:val="00C1631C"/>
    <w:rsid w:val="00C22667"/>
    <w:rsid w:val="00C22B9A"/>
    <w:rsid w:val="00C24E46"/>
    <w:rsid w:val="00C316E7"/>
    <w:rsid w:val="00C31B2C"/>
    <w:rsid w:val="00C343A8"/>
    <w:rsid w:val="00C37525"/>
    <w:rsid w:val="00C437B4"/>
    <w:rsid w:val="00C44CAB"/>
    <w:rsid w:val="00C50248"/>
    <w:rsid w:val="00C52E35"/>
    <w:rsid w:val="00C540EF"/>
    <w:rsid w:val="00C5516F"/>
    <w:rsid w:val="00C62E87"/>
    <w:rsid w:val="00C652C4"/>
    <w:rsid w:val="00C720DC"/>
    <w:rsid w:val="00C74ACB"/>
    <w:rsid w:val="00C86ED8"/>
    <w:rsid w:val="00C8703A"/>
    <w:rsid w:val="00C90266"/>
    <w:rsid w:val="00C93C70"/>
    <w:rsid w:val="00C93FB5"/>
    <w:rsid w:val="00CA17ED"/>
    <w:rsid w:val="00CA2514"/>
    <w:rsid w:val="00CA3A2C"/>
    <w:rsid w:val="00CA59DF"/>
    <w:rsid w:val="00CA7227"/>
    <w:rsid w:val="00CB4640"/>
    <w:rsid w:val="00CC0F10"/>
    <w:rsid w:val="00CD0960"/>
    <w:rsid w:val="00CD3258"/>
    <w:rsid w:val="00CE306A"/>
    <w:rsid w:val="00CE5F76"/>
    <w:rsid w:val="00CF07D1"/>
    <w:rsid w:val="00CF32A4"/>
    <w:rsid w:val="00CF390A"/>
    <w:rsid w:val="00CF46A3"/>
    <w:rsid w:val="00D03843"/>
    <w:rsid w:val="00D04597"/>
    <w:rsid w:val="00D07275"/>
    <w:rsid w:val="00D1041A"/>
    <w:rsid w:val="00D113ED"/>
    <w:rsid w:val="00D151B5"/>
    <w:rsid w:val="00D2379B"/>
    <w:rsid w:val="00D247F7"/>
    <w:rsid w:val="00D32A6C"/>
    <w:rsid w:val="00D4412C"/>
    <w:rsid w:val="00D515C6"/>
    <w:rsid w:val="00D51A43"/>
    <w:rsid w:val="00D53679"/>
    <w:rsid w:val="00D5645D"/>
    <w:rsid w:val="00D633EE"/>
    <w:rsid w:val="00D63892"/>
    <w:rsid w:val="00D650A7"/>
    <w:rsid w:val="00D7026B"/>
    <w:rsid w:val="00D73879"/>
    <w:rsid w:val="00D74104"/>
    <w:rsid w:val="00D74777"/>
    <w:rsid w:val="00D84AA1"/>
    <w:rsid w:val="00D87D06"/>
    <w:rsid w:val="00D9038D"/>
    <w:rsid w:val="00DA5804"/>
    <w:rsid w:val="00DA7997"/>
    <w:rsid w:val="00DB01CA"/>
    <w:rsid w:val="00DC0116"/>
    <w:rsid w:val="00DC16B5"/>
    <w:rsid w:val="00DC1C9E"/>
    <w:rsid w:val="00DC627F"/>
    <w:rsid w:val="00DC636E"/>
    <w:rsid w:val="00DC78EE"/>
    <w:rsid w:val="00DD5C55"/>
    <w:rsid w:val="00DD7DEA"/>
    <w:rsid w:val="00DF75D9"/>
    <w:rsid w:val="00E011B1"/>
    <w:rsid w:val="00E011E8"/>
    <w:rsid w:val="00E03F34"/>
    <w:rsid w:val="00E07980"/>
    <w:rsid w:val="00E07989"/>
    <w:rsid w:val="00E1209D"/>
    <w:rsid w:val="00E121F7"/>
    <w:rsid w:val="00E20A18"/>
    <w:rsid w:val="00E20B90"/>
    <w:rsid w:val="00E24933"/>
    <w:rsid w:val="00E25C2B"/>
    <w:rsid w:val="00E2702F"/>
    <w:rsid w:val="00E27894"/>
    <w:rsid w:val="00E34E6E"/>
    <w:rsid w:val="00E411FF"/>
    <w:rsid w:val="00E423FF"/>
    <w:rsid w:val="00E47BEC"/>
    <w:rsid w:val="00E47ED8"/>
    <w:rsid w:val="00E51127"/>
    <w:rsid w:val="00E529D3"/>
    <w:rsid w:val="00E533A1"/>
    <w:rsid w:val="00E54E49"/>
    <w:rsid w:val="00E5559E"/>
    <w:rsid w:val="00E55916"/>
    <w:rsid w:val="00E621A8"/>
    <w:rsid w:val="00E65EE1"/>
    <w:rsid w:val="00E73470"/>
    <w:rsid w:val="00E73FDB"/>
    <w:rsid w:val="00E7609F"/>
    <w:rsid w:val="00E83207"/>
    <w:rsid w:val="00E97421"/>
    <w:rsid w:val="00EA4047"/>
    <w:rsid w:val="00EA5FBC"/>
    <w:rsid w:val="00EB1030"/>
    <w:rsid w:val="00EC50D4"/>
    <w:rsid w:val="00ED0A70"/>
    <w:rsid w:val="00ED2986"/>
    <w:rsid w:val="00ED711C"/>
    <w:rsid w:val="00EE2AD5"/>
    <w:rsid w:val="00EE4CBD"/>
    <w:rsid w:val="00EE7922"/>
    <w:rsid w:val="00EE7E3E"/>
    <w:rsid w:val="00EF2811"/>
    <w:rsid w:val="00EF58EE"/>
    <w:rsid w:val="00EF6D0F"/>
    <w:rsid w:val="00EF7A68"/>
    <w:rsid w:val="00EF7BCA"/>
    <w:rsid w:val="00F15FEB"/>
    <w:rsid w:val="00F17D4D"/>
    <w:rsid w:val="00F22A87"/>
    <w:rsid w:val="00F24F0A"/>
    <w:rsid w:val="00F253A3"/>
    <w:rsid w:val="00F26580"/>
    <w:rsid w:val="00F315D4"/>
    <w:rsid w:val="00F315DF"/>
    <w:rsid w:val="00F328A1"/>
    <w:rsid w:val="00F33ECF"/>
    <w:rsid w:val="00F35DD9"/>
    <w:rsid w:val="00F40979"/>
    <w:rsid w:val="00F448A3"/>
    <w:rsid w:val="00F4568C"/>
    <w:rsid w:val="00F55F50"/>
    <w:rsid w:val="00F6231D"/>
    <w:rsid w:val="00F665AC"/>
    <w:rsid w:val="00F70B8C"/>
    <w:rsid w:val="00F730D1"/>
    <w:rsid w:val="00F75917"/>
    <w:rsid w:val="00F859B0"/>
    <w:rsid w:val="00F95422"/>
    <w:rsid w:val="00F963FA"/>
    <w:rsid w:val="00FB057A"/>
    <w:rsid w:val="00FB1DCC"/>
    <w:rsid w:val="00FB283E"/>
    <w:rsid w:val="00FC26FE"/>
    <w:rsid w:val="00FC2EA1"/>
    <w:rsid w:val="00FD086C"/>
    <w:rsid w:val="00FD5921"/>
    <w:rsid w:val="00FD7008"/>
    <w:rsid w:val="00FF1AAB"/>
    <w:rsid w:val="00FF4863"/>
    <w:rsid w:val="00FF4872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866F85"/>
    <w:pPr>
      <w:snapToGrid w:val="0"/>
      <w:spacing w:before="60" w:line="360" w:lineRule="auto"/>
      <w:ind w:left="1140"/>
      <w:jc w:val="both"/>
    </w:pPr>
    <w:rPr>
      <w:rFonts w:ascii="Arial" w:hAnsi="Arial"/>
      <w:sz w:val="20"/>
      <w:szCs w:val="24"/>
      <w:lang w:eastAsia="ja-JP"/>
    </w:rPr>
  </w:style>
  <w:style w:type="paragraph" w:styleId="Heading1">
    <w:name w:val="heading 1"/>
    <w:aliases w:val="Titre 1 CP"/>
    <w:basedOn w:val="Normal"/>
    <w:next w:val="Heading2"/>
    <w:link w:val="Heading1Char"/>
    <w:uiPriority w:val="99"/>
    <w:qFormat/>
    <w:rsid w:val="009A7D12"/>
    <w:pPr>
      <w:keepNext/>
      <w:adjustRightInd w:val="0"/>
      <w:spacing w:before="240"/>
      <w:jc w:val="left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Chapô"/>
    <w:basedOn w:val="Normal"/>
    <w:next w:val="Normal"/>
    <w:link w:val="Heading2Char"/>
    <w:uiPriority w:val="99"/>
    <w:qFormat/>
    <w:rsid w:val="004E7BB0"/>
    <w:pPr>
      <w:outlineLvl w:val="1"/>
    </w:pPr>
    <w:rPr>
      <w:b/>
      <w:iCs/>
      <w:sz w:val="22"/>
      <w:szCs w:val="28"/>
      <w:lang w:val="fr-FR" w:eastAsia="en-US"/>
    </w:rPr>
  </w:style>
  <w:style w:type="paragraph" w:styleId="Heading3">
    <w:name w:val="heading 3"/>
    <w:aliases w:val="Chapô avec puces"/>
    <w:basedOn w:val="Heading2"/>
    <w:next w:val="Heading4"/>
    <w:link w:val="Heading3Char"/>
    <w:uiPriority w:val="99"/>
    <w:qFormat/>
    <w:rsid w:val="00866F85"/>
    <w:pPr>
      <w:keepNext/>
      <w:numPr>
        <w:numId w:val="4"/>
      </w:numPr>
      <w:spacing w:before="120" w:line="300" w:lineRule="exact"/>
      <w:outlineLvl w:val="2"/>
    </w:pPr>
    <w:rPr>
      <w:rFonts w:cs="Arial"/>
      <w:bCs/>
      <w:szCs w:val="26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E533A1"/>
    <w:pPr>
      <w:spacing w:before="240"/>
      <w:outlineLvl w:val="3"/>
    </w:pPr>
    <w:rPr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1 CP Char"/>
    <w:basedOn w:val="DefaultParagraphFont"/>
    <w:link w:val="Heading1"/>
    <w:uiPriority w:val="99"/>
    <w:locked/>
    <w:rsid w:val="0012592E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aliases w:val="Chapô Char"/>
    <w:basedOn w:val="DefaultParagraphFont"/>
    <w:link w:val="Heading2"/>
    <w:uiPriority w:val="99"/>
    <w:locked/>
    <w:rsid w:val="00E83207"/>
    <w:rPr>
      <w:rFonts w:ascii="Arial" w:hAnsi="Arial" w:cs="Times New Roman"/>
      <w:b/>
      <w:sz w:val="28"/>
      <w:lang w:val="fr-FR" w:eastAsia="en-US"/>
    </w:rPr>
  </w:style>
  <w:style w:type="character" w:customStyle="1" w:styleId="Heading3Char">
    <w:name w:val="Heading 3 Char"/>
    <w:aliases w:val="Chapô avec puces Char"/>
    <w:basedOn w:val="DefaultParagraphFont"/>
    <w:link w:val="Heading3"/>
    <w:uiPriority w:val="99"/>
    <w:semiHidden/>
    <w:locked/>
    <w:rsid w:val="0012592E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3207"/>
    <w:rPr>
      <w:rFonts w:ascii="Arial" w:hAnsi="Arial" w:cs="Times New Roman"/>
      <w:b/>
      <w:kern w:val="32"/>
      <w:sz w:val="28"/>
      <w:lang w:val="fr-FR" w:eastAsia="en-US"/>
    </w:rPr>
  </w:style>
  <w:style w:type="paragraph" w:styleId="Header">
    <w:name w:val="header"/>
    <w:aliases w:val="Nom du document"/>
    <w:basedOn w:val="Normal"/>
    <w:link w:val="HeaderChar"/>
    <w:uiPriority w:val="99"/>
    <w:rsid w:val="00C90266"/>
    <w:pPr>
      <w:tabs>
        <w:tab w:val="left" w:pos="3360"/>
        <w:tab w:val="right" w:pos="9072"/>
      </w:tabs>
      <w:snapToGrid/>
      <w:spacing w:before="0" w:line="240" w:lineRule="auto"/>
      <w:ind w:left="0" w:right="602"/>
      <w:jc w:val="left"/>
    </w:pPr>
    <w:rPr>
      <w:rFonts w:ascii="Arial Narrow" w:hAnsi="Arial Narrow"/>
      <w:b/>
      <w:sz w:val="24"/>
      <w:szCs w:val="20"/>
      <w:lang w:val="fr-FR" w:eastAsia="en-US"/>
    </w:rPr>
  </w:style>
  <w:style w:type="character" w:customStyle="1" w:styleId="HeaderChar">
    <w:name w:val="Header Char"/>
    <w:aliases w:val="Nom du document Char"/>
    <w:basedOn w:val="DefaultParagraphFont"/>
    <w:link w:val="Header"/>
    <w:uiPriority w:val="99"/>
    <w:semiHidden/>
    <w:locked/>
    <w:rsid w:val="0012592E"/>
    <w:rPr>
      <w:rFonts w:ascii="Arial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92E"/>
    <w:rPr>
      <w:rFonts w:ascii="Arial" w:hAnsi="Arial" w:cs="Times New Roman"/>
      <w:sz w:val="24"/>
      <w:szCs w:val="24"/>
      <w:lang w:eastAsia="ja-JP"/>
    </w:rPr>
  </w:style>
  <w:style w:type="paragraph" w:customStyle="1" w:styleId="DateCPalignedroite">
    <w:name w:val="Date CP alignée à droite"/>
    <w:basedOn w:val="Normal"/>
    <w:next w:val="Heading1"/>
    <w:uiPriority w:val="99"/>
    <w:rsid w:val="004E7BB0"/>
    <w:pPr>
      <w:spacing w:line="1920" w:lineRule="exact"/>
      <w:jc w:val="right"/>
    </w:pPr>
    <w:rPr>
      <w:szCs w:val="20"/>
    </w:rPr>
  </w:style>
  <w:style w:type="character" w:styleId="Hyperlink">
    <w:name w:val="Hyperlink"/>
    <w:basedOn w:val="DefaultParagraphFont"/>
    <w:uiPriority w:val="99"/>
    <w:rsid w:val="00B60D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561D"/>
    <w:pPr>
      <w:snapToGrid/>
      <w:spacing w:line="240" w:lineRule="auto"/>
      <w:ind w:left="0"/>
      <w:jc w:val="left"/>
    </w:pPr>
    <w:rPr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592E"/>
    <w:rPr>
      <w:rFonts w:ascii="Arial" w:hAnsi="Arial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52561D"/>
    <w:rPr>
      <w:rFonts w:cs="Times New Roman"/>
      <w:vertAlign w:val="superscript"/>
    </w:rPr>
  </w:style>
  <w:style w:type="paragraph" w:customStyle="1" w:styleId="Tableautitres">
    <w:name w:val="Tableau titres"/>
    <w:basedOn w:val="Normal"/>
    <w:uiPriority w:val="99"/>
    <w:rsid w:val="00E03F34"/>
    <w:pPr>
      <w:jc w:val="left"/>
    </w:pPr>
    <w:rPr>
      <w:b/>
      <w:bCs/>
      <w:szCs w:val="20"/>
    </w:rPr>
  </w:style>
  <w:style w:type="table" w:styleId="TableGrid">
    <w:name w:val="Table Grid"/>
    <w:basedOn w:val="TableNormal"/>
    <w:uiPriority w:val="99"/>
    <w:rsid w:val="00C1631C"/>
    <w:pPr>
      <w:snapToGrid w:val="0"/>
      <w:ind w:left="1140"/>
      <w:jc w:val="both"/>
    </w:pPr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drtitreblancMAJ">
    <w:name w:val="Encadré titre blanc MAJ"/>
    <w:basedOn w:val="Normal"/>
    <w:uiPriority w:val="99"/>
    <w:rsid w:val="00CF07D1"/>
    <w:pPr>
      <w:ind w:left="1077" w:hanging="1077"/>
      <w:jc w:val="left"/>
    </w:pPr>
    <w:rPr>
      <w:b/>
      <w:bCs/>
      <w:caps/>
      <w:color w:val="FFFFFF"/>
      <w:sz w:val="24"/>
      <w:szCs w:val="20"/>
    </w:rPr>
  </w:style>
  <w:style w:type="paragraph" w:customStyle="1" w:styleId="Encadrtexte">
    <w:name w:val="Encadré texte"/>
    <w:basedOn w:val="Normal"/>
    <w:uiPriority w:val="99"/>
    <w:rsid w:val="00CF07D1"/>
    <w:pPr>
      <w:ind w:left="0"/>
      <w:jc w:val="left"/>
    </w:pPr>
    <w:rPr>
      <w:b/>
      <w:color w:val="FFFFFF"/>
      <w:lang w:val="fr-FR"/>
    </w:rPr>
  </w:style>
  <w:style w:type="table" w:styleId="TableTheme">
    <w:name w:val="Table Theme"/>
    <w:basedOn w:val="TableNormal"/>
    <w:uiPriority w:val="99"/>
    <w:rsid w:val="00C1631C"/>
    <w:pPr>
      <w:snapToGrid w:val="0"/>
      <w:ind w:left="1140"/>
      <w:jc w:val="both"/>
    </w:pPr>
    <w:rPr>
      <w:rFonts w:ascii="Arial" w:hAnsi="Arial"/>
      <w:sz w:val="1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depagecom">
    <w:name w:val="Pied de page com"/>
    <w:basedOn w:val="Normal"/>
    <w:uiPriority w:val="99"/>
    <w:rsid w:val="00932B51"/>
    <w:pPr>
      <w:spacing w:line="240" w:lineRule="auto"/>
    </w:pPr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BF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92E"/>
    <w:rPr>
      <w:rFonts w:cs="Times New Roman"/>
      <w:sz w:val="2"/>
      <w:lang w:eastAsia="ja-JP"/>
    </w:rPr>
  </w:style>
  <w:style w:type="paragraph" w:customStyle="1" w:styleId="Sous-titre1">
    <w:name w:val="Sous-titre1"/>
    <w:basedOn w:val="Normal"/>
    <w:uiPriority w:val="99"/>
    <w:rsid w:val="00C720DC"/>
    <w:pPr>
      <w:snapToGrid/>
      <w:spacing w:before="225" w:after="225" w:line="240" w:lineRule="auto"/>
      <w:ind w:left="0"/>
      <w:jc w:val="left"/>
    </w:pPr>
    <w:rPr>
      <w:rFonts w:cs="Arial"/>
      <w:b/>
      <w:bCs/>
      <w:sz w:val="24"/>
    </w:rPr>
  </w:style>
  <w:style w:type="character" w:styleId="CommentReference">
    <w:name w:val="annotation reference"/>
    <w:basedOn w:val="DefaultParagraphFont"/>
    <w:uiPriority w:val="99"/>
    <w:rsid w:val="00866D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66D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6D4A"/>
    <w:rPr>
      <w:rFonts w:ascii="Arial" w:hAnsi="Arial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6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66D4A"/>
    <w:rPr>
      <w:b/>
    </w:rPr>
  </w:style>
  <w:style w:type="paragraph" w:styleId="Revision">
    <w:name w:val="Revision"/>
    <w:hidden/>
    <w:uiPriority w:val="99"/>
    <w:semiHidden/>
    <w:rsid w:val="007C4905"/>
    <w:rPr>
      <w:rFonts w:ascii="Arial" w:hAnsi="Arial"/>
      <w:sz w:val="20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D650A7"/>
    <w:pPr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 w:eastAsia="en-US"/>
    </w:rPr>
  </w:style>
  <w:style w:type="character" w:styleId="PageNumber">
    <w:name w:val="page number"/>
    <w:basedOn w:val="DefaultParagraphFont"/>
    <w:uiPriority w:val="99"/>
    <w:rsid w:val="000B6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11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3333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2222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.renault.be" TargetMode="External"/><Relationship Id="rId1" Type="http://schemas.openxmlformats.org/officeDocument/2006/relationships/hyperlink" Target="http://www.renault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.renault.be" TargetMode="External"/><Relationship Id="rId1" Type="http://schemas.openxmlformats.org/officeDocument/2006/relationships/hyperlink" Target="http://www.rena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1554</Words>
  <Characters>8863</Characters>
  <Application>Microsoft Office Outlook</Application>
  <DocSecurity>0</DocSecurity>
  <Lines>0</Lines>
  <Paragraphs>0</Paragraphs>
  <ScaleCrop>false</ScaleCrop>
  <Company>RENAULT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commerciaux france – mai 2013</dc:title>
  <dc:subject/>
  <dc:creator>ROUGET Francois</dc:creator>
  <cp:keywords/>
  <dc:description/>
  <cp:lastModifiedBy>ab00168</cp:lastModifiedBy>
  <cp:revision>2</cp:revision>
  <cp:lastPrinted>2013-07-11T14:43:00Z</cp:lastPrinted>
  <dcterms:created xsi:type="dcterms:W3CDTF">2013-07-11T14:45:00Z</dcterms:created>
  <dcterms:modified xsi:type="dcterms:W3CDTF">2013-07-11T14:45:00Z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Name">
    <vt:lpwstr/>
  </property>
  <property fmtid="{D5CDD505-2E9C-101B-9397-08002B2CF9AE}" pid="3" name="FormCategory">
    <vt:lpwstr/>
  </property>
  <property fmtid="{D5CDD505-2E9C-101B-9397-08002B2CF9AE}" pid="4" name="FormVersion">
    <vt:lpwstr/>
  </property>
  <property fmtid="{D5CDD505-2E9C-101B-9397-08002B2CF9AE}" pid="5" name="FormId">
    <vt:lpwstr/>
  </property>
  <property fmtid="{D5CDD505-2E9C-101B-9397-08002B2CF9AE}" pid="6" name="FormLocale">
    <vt:lpwstr/>
  </property>
  <property fmtid="{D5CDD505-2E9C-101B-9397-08002B2CF9AE}" pid="7" name="FormDescription">
    <vt:lpwstr/>
  </property>
  <property fmtid="{D5CDD505-2E9C-101B-9397-08002B2CF9AE}" pid="8" name="ShowInCatalog">
    <vt:lpwstr>1</vt:lpwstr>
  </property>
  <property fmtid="{D5CDD505-2E9C-101B-9397-08002B2CF9AE}" pid="9" name="ContentType">
    <vt:lpwstr>InfoPath Form Template</vt:lpwstr>
  </property>
  <property fmtid="{D5CDD505-2E9C-101B-9397-08002B2CF9AE}" pid="10" name="_AdHocReviewCycleID">
    <vt:i4>429028096</vt:i4>
  </property>
  <property fmtid="{D5CDD505-2E9C-101B-9397-08002B2CF9AE}" pid="11" name="_NewReviewCycle">
    <vt:lpwstr/>
  </property>
  <property fmtid="{D5CDD505-2E9C-101B-9397-08002B2CF9AE}" pid="12" name="_EmailSubject">
    <vt:lpwstr>CP Résultats commerciaux mi année - Sous embargo</vt:lpwstr>
  </property>
  <property fmtid="{D5CDD505-2E9C-101B-9397-08002B2CF9AE}" pid="13" name="_AuthorEmail">
    <vt:lpwstr>mathieu.perrier@renault.com</vt:lpwstr>
  </property>
  <property fmtid="{D5CDD505-2E9C-101B-9397-08002B2CF9AE}" pid="14" name="_AuthorEmailDisplayName">
    <vt:lpwstr>PERRIER Mathieu</vt:lpwstr>
  </property>
  <property fmtid="{D5CDD505-2E9C-101B-9397-08002B2CF9AE}" pid="15" name="_PreviousAdHocReviewCycleID">
    <vt:i4>813852806</vt:i4>
  </property>
  <property fmtid="{D5CDD505-2E9C-101B-9397-08002B2CF9AE}" pid="16" name="_ReviewingToolsShownOnce">
    <vt:lpwstr/>
  </property>
</Properties>
</file>