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Default="00E70202" w:rsidP="00E70202">
            <w:pPr>
              <w:spacing w:before="0" w:line="240" w:lineRule="auto"/>
              <w:ind w:left="1416"/>
              <w:rPr>
                <w:b/>
                <w:sz w:val="26"/>
                <w:szCs w:val="26"/>
              </w:rPr>
            </w:pPr>
            <w:r>
              <w:rPr>
                <w:b/>
                <w:sz w:val="26"/>
                <w:szCs w:val="26"/>
              </w:rPr>
              <w:t xml:space="preserve">COMMUNIQUE DE PRESSE </w:t>
            </w:r>
          </w:p>
          <w:p w14:paraId="2B7EC604" w14:textId="241145E6" w:rsidR="008C7E44" w:rsidRPr="008C7E44" w:rsidRDefault="005D6B64" w:rsidP="00E70202">
            <w:pPr>
              <w:spacing w:before="0" w:line="240" w:lineRule="auto"/>
              <w:ind w:left="1416"/>
              <w:jc w:val="both"/>
              <w:rPr>
                <w:sz w:val="22"/>
                <w:szCs w:val="22"/>
              </w:rPr>
            </w:pPr>
            <w:r>
              <w:rPr>
                <w:sz w:val="22"/>
                <w:szCs w:val="22"/>
              </w:rPr>
              <w:t>30 janvier 2023</w:t>
            </w:r>
          </w:p>
        </w:tc>
      </w:tr>
    </w:tbl>
    <w:p w14:paraId="06750947" w14:textId="51CB8B13" w:rsidR="00E66807" w:rsidRPr="006D64AE" w:rsidRDefault="005D6B64" w:rsidP="00E66807">
      <w:pPr>
        <w:rPr>
          <w:b/>
          <w:bCs/>
          <w:sz w:val="44"/>
          <w:szCs w:val="44"/>
        </w:rPr>
      </w:pPr>
      <w:r w:rsidRPr="006D64AE">
        <w:rPr>
          <w:b/>
          <w:bCs/>
          <w:sz w:val="44"/>
          <w:szCs w:val="44"/>
        </w:rPr>
        <w:t>Communiqué</w:t>
      </w:r>
    </w:p>
    <w:p w14:paraId="0C110004" w14:textId="77777777" w:rsidR="001F1509" w:rsidRPr="00FF1C1A" w:rsidRDefault="001F1509" w:rsidP="00E81176">
      <w:pPr>
        <w:spacing w:before="0"/>
        <w:jc w:val="both"/>
        <w:rPr>
          <w:sz w:val="22"/>
          <w:szCs w:val="22"/>
          <w:lang w:val="en-US"/>
        </w:rPr>
      </w:pPr>
    </w:p>
    <w:p w14:paraId="631D7F44" w14:textId="78B2155A" w:rsidR="002A1BB1" w:rsidRPr="005D6B64" w:rsidRDefault="002A1BB1" w:rsidP="006F3643">
      <w:pPr>
        <w:spacing w:before="0" w:line="276" w:lineRule="auto"/>
        <w:jc w:val="both"/>
        <w:rPr>
          <w:b/>
          <w:bCs/>
          <w:sz w:val="22"/>
          <w:szCs w:val="22"/>
        </w:rPr>
      </w:pPr>
    </w:p>
    <w:p w14:paraId="1B411667" w14:textId="5476CDC1" w:rsidR="005D6B64" w:rsidRPr="005D6B64" w:rsidRDefault="005D6B64" w:rsidP="005D6B64">
      <w:pPr>
        <w:spacing w:line="276" w:lineRule="auto"/>
        <w:jc w:val="both"/>
        <w:rPr>
          <w:sz w:val="22"/>
          <w:szCs w:val="22"/>
        </w:rPr>
      </w:pPr>
      <w:r w:rsidRPr="005D6B64">
        <w:rPr>
          <w:sz w:val="22"/>
          <w:szCs w:val="22"/>
        </w:rPr>
        <w:t xml:space="preserve">Après plusieurs mois de discussions constructives avec Nissan </w:t>
      </w:r>
      <w:proofErr w:type="spellStart"/>
      <w:r w:rsidRPr="005D6B64">
        <w:rPr>
          <w:sz w:val="22"/>
          <w:szCs w:val="22"/>
        </w:rPr>
        <w:t>Motor</w:t>
      </w:r>
      <w:proofErr w:type="spellEnd"/>
      <w:r w:rsidRPr="005D6B64">
        <w:rPr>
          <w:sz w:val="22"/>
          <w:szCs w:val="22"/>
        </w:rPr>
        <w:t xml:space="preserve"> Co. Ltd, Renault Group</w:t>
      </w:r>
      <w:r w:rsidR="00CD123A">
        <w:rPr>
          <w:sz w:val="22"/>
          <w:szCs w:val="22"/>
        </w:rPr>
        <w:t xml:space="preserve"> </w:t>
      </w:r>
      <w:r w:rsidRPr="005D6B64">
        <w:rPr>
          <w:sz w:val="22"/>
          <w:szCs w:val="22"/>
        </w:rPr>
        <w:t>annonce aujourd'hui que, sous réserve de l'approbation de son Conseil d'administration, il a franchi une étape majeure dans ses discussions sur la définition de</w:t>
      </w:r>
      <w:r w:rsidR="00AE71AA">
        <w:rPr>
          <w:sz w:val="22"/>
          <w:szCs w:val="22"/>
        </w:rPr>
        <w:t>s</w:t>
      </w:r>
      <w:r w:rsidRPr="005D6B64">
        <w:rPr>
          <w:sz w:val="22"/>
          <w:szCs w:val="22"/>
        </w:rPr>
        <w:t xml:space="preserve"> nouvelles bases de leur partenariat. </w:t>
      </w:r>
    </w:p>
    <w:p w14:paraId="2B051CC6" w14:textId="56447E8B" w:rsidR="005D6B64" w:rsidRPr="005D6B64" w:rsidRDefault="005D6B64" w:rsidP="005D6B64">
      <w:pPr>
        <w:spacing w:line="276" w:lineRule="auto"/>
        <w:jc w:val="both"/>
        <w:rPr>
          <w:sz w:val="22"/>
          <w:szCs w:val="22"/>
        </w:rPr>
      </w:pPr>
      <w:r w:rsidRPr="005D6B64">
        <w:rPr>
          <w:sz w:val="22"/>
          <w:szCs w:val="22"/>
        </w:rPr>
        <w:t xml:space="preserve">L'ambition est de renforcer les liens de l'Alliance et de maximiser la création de valeur pour l’ensemble des parties prenantes avec une approche en trois </w:t>
      </w:r>
      <w:r w:rsidR="00D5236F">
        <w:rPr>
          <w:sz w:val="22"/>
          <w:szCs w:val="22"/>
        </w:rPr>
        <w:t>dimensions</w:t>
      </w:r>
      <w:r w:rsidRPr="005D6B64">
        <w:rPr>
          <w:sz w:val="22"/>
          <w:szCs w:val="22"/>
        </w:rPr>
        <w:t xml:space="preserve"> : </w:t>
      </w:r>
    </w:p>
    <w:p w14:paraId="7E2DA9F9" w14:textId="77777777" w:rsidR="005D6B64" w:rsidRPr="005D6B64" w:rsidRDefault="005D6B64" w:rsidP="005D6B64">
      <w:pPr>
        <w:spacing w:line="276" w:lineRule="auto"/>
        <w:jc w:val="both"/>
        <w:rPr>
          <w:sz w:val="22"/>
          <w:szCs w:val="22"/>
        </w:rPr>
      </w:pPr>
    </w:p>
    <w:p w14:paraId="38DEB1B0" w14:textId="77777777" w:rsidR="005D6B64" w:rsidRPr="00547CA1" w:rsidRDefault="005D6B64" w:rsidP="005D6B64">
      <w:pPr>
        <w:spacing w:line="276" w:lineRule="auto"/>
        <w:jc w:val="both"/>
        <w:rPr>
          <w:b/>
          <w:bCs/>
          <w:sz w:val="22"/>
          <w:szCs w:val="22"/>
        </w:rPr>
      </w:pPr>
      <w:r w:rsidRPr="005D6B64">
        <w:rPr>
          <w:sz w:val="22"/>
          <w:szCs w:val="22"/>
        </w:rPr>
        <w:t>•</w:t>
      </w:r>
      <w:r w:rsidRPr="005D6B64">
        <w:rPr>
          <w:sz w:val="22"/>
          <w:szCs w:val="22"/>
        </w:rPr>
        <w:tab/>
      </w:r>
      <w:r w:rsidRPr="00547CA1">
        <w:rPr>
          <w:b/>
          <w:bCs/>
          <w:sz w:val="22"/>
          <w:szCs w:val="22"/>
        </w:rPr>
        <w:t>Relancer le partenariat avec des projets opérationnels à forte création de valeur</w:t>
      </w:r>
    </w:p>
    <w:p w14:paraId="52538D12" w14:textId="217DF3F3" w:rsidR="005D6B64" w:rsidRPr="005D6B64" w:rsidRDefault="005D6B64" w:rsidP="005D6B64">
      <w:pPr>
        <w:pStyle w:val="Paragraphedeliste"/>
        <w:numPr>
          <w:ilvl w:val="0"/>
          <w:numId w:val="20"/>
        </w:numPr>
        <w:spacing w:line="276" w:lineRule="auto"/>
        <w:jc w:val="both"/>
        <w:rPr>
          <w:sz w:val="22"/>
          <w:szCs w:val="22"/>
        </w:rPr>
      </w:pPr>
      <w:r w:rsidRPr="005D6B64">
        <w:rPr>
          <w:sz w:val="22"/>
          <w:szCs w:val="22"/>
        </w:rPr>
        <w:t>Projets clés en Amérique latine, en Inde et en Europe, qui seraient déployés selon trois dimensions : marchés, véhicules et technologies.</w:t>
      </w:r>
    </w:p>
    <w:p w14:paraId="6A57C719" w14:textId="77777777" w:rsidR="005D6B64" w:rsidRPr="005D6B64" w:rsidRDefault="005D6B64" w:rsidP="005D6B64">
      <w:pPr>
        <w:spacing w:line="276" w:lineRule="auto"/>
        <w:jc w:val="both"/>
        <w:rPr>
          <w:sz w:val="22"/>
          <w:szCs w:val="22"/>
        </w:rPr>
      </w:pPr>
      <w:r w:rsidRPr="005D6B64">
        <w:rPr>
          <w:sz w:val="22"/>
          <w:szCs w:val="22"/>
        </w:rPr>
        <w:t>•</w:t>
      </w:r>
      <w:r w:rsidRPr="005D6B64">
        <w:rPr>
          <w:sz w:val="22"/>
          <w:szCs w:val="22"/>
        </w:rPr>
        <w:tab/>
      </w:r>
      <w:r w:rsidRPr="00547CA1">
        <w:rPr>
          <w:b/>
          <w:bCs/>
          <w:sz w:val="22"/>
          <w:szCs w:val="22"/>
        </w:rPr>
        <w:t>Renforcer l'agilité stratégique avec de nouvelles initiatives auxquelles les partenaires peuvent se joindre</w:t>
      </w:r>
    </w:p>
    <w:p w14:paraId="447E08F0" w14:textId="6C97A370" w:rsidR="005D6B64" w:rsidRPr="005D6B64" w:rsidRDefault="005D6B64" w:rsidP="005D6B64">
      <w:pPr>
        <w:pStyle w:val="Paragraphedeliste"/>
        <w:numPr>
          <w:ilvl w:val="0"/>
          <w:numId w:val="23"/>
        </w:numPr>
        <w:spacing w:line="276" w:lineRule="auto"/>
        <w:ind w:left="709" w:hanging="349"/>
        <w:jc w:val="both"/>
        <w:rPr>
          <w:sz w:val="22"/>
          <w:szCs w:val="22"/>
        </w:rPr>
      </w:pPr>
      <w:r w:rsidRPr="005D6B64">
        <w:rPr>
          <w:sz w:val="22"/>
          <w:szCs w:val="22"/>
        </w:rPr>
        <w:t xml:space="preserve">Nissan investirait dans </w:t>
      </w:r>
      <w:proofErr w:type="spellStart"/>
      <w:r w:rsidRPr="005D6B64">
        <w:rPr>
          <w:sz w:val="22"/>
          <w:szCs w:val="22"/>
        </w:rPr>
        <w:t>Ampere</w:t>
      </w:r>
      <w:proofErr w:type="spellEnd"/>
      <w:r w:rsidRPr="005D6B64">
        <w:rPr>
          <w:sz w:val="22"/>
          <w:szCs w:val="22"/>
        </w:rPr>
        <w:t xml:space="preserve">, le </w:t>
      </w:r>
      <w:r w:rsidRPr="001C21F5">
        <w:rPr>
          <w:i/>
          <w:iCs/>
          <w:sz w:val="22"/>
          <w:szCs w:val="22"/>
        </w:rPr>
        <w:t xml:space="preserve">pure </w:t>
      </w:r>
      <w:proofErr w:type="spellStart"/>
      <w:r w:rsidRPr="001C21F5">
        <w:rPr>
          <w:i/>
          <w:iCs/>
          <w:sz w:val="22"/>
          <w:szCs w:val="22"/>
        </w:rPr>
        <w:t>player</w:t>
      </w:r>
      <w:proofErr w:type="spellEnd"/>
      <w:r w:rsidRPr="005D6B64">
        <w:rPr>
          <w:sz w:val="22"/>
          <w:szCs w:val="22"/>
        </w:rPr>
        <w:t xml:space="preserve"> de l’électrique et du software fondé par Renault Group, dans le but de devenir un actionnaire stratégique.  </w:t>
      </w:r>
    </w:p>
    <w:p w14:paraId="3229A685" w14:textId="77777777" w:rsidR="005D6B64" w:rsidRPr="005D6B64" w:rsidRDefault="005D6B64" w:rsidP="00547CA1">
      <w:pPr>
        <w:spacing w:line="276" w:lineRule="auto"/>
        <w:ind w:left="709" w:hanging="709"/>
        <w:jc w:val="both"/>
        <w:rPr>
          <w:sz w:val="22"/>
          <w:szCs w:val="22"/>
        </w:rPr>
      </w:pPr>
      <w:r w:rsidRPr="005D6B64">
        <w:rPr>
          <w:sz w:val="22"/>
          <w:szCs w:val="22"/>
        </w:rPr>
        <w:t>•</w:t>
      </w:r>
      <w:r w:rsidRPr="005D6B64">
        <w:rPr>
          <w:sz w:val="22"/>
          <w:szCs w:val="22"/>
        </w:rPr>
        <w:tab/>
      </w:r>
      <w:r w:rsidRPr="00547CA1">
        <w:rPr>
          <w:b/>
          <w:bCs/>
          <w:sz w:val="22"/>
          <w:szCs w:val="22"/>
        </w:rPr>
        <w:t>Une gouvernance équilibrée et des participations croisées pour favoriser l'accélération des gains d'efficacité opérationnelle</w:t>
      </w:r>
    </w:p>
    <w:p w14:paraId="02E6132A" w14:textId="68218349" w:rsidR="005D6B64" w:rsidRPr="005D6B64" w:rsidRDefault="005D6B64" w:rsidP="005D6B64">
      <w:pPr>
        <w:pStyle w:val="Paragraphedeliste"/>
        <w:numPr>
          <w:ilvl w:val="0"/>
          <w:numId w:val="23"/>
        </w:numPr>
        <w:spacing w:line="276" w:lineRule="auto"/>
        <w:ind w:left="709" w:hanging="349"/>
        <w:jc w:val="both"/>
        <w:rPr>
          <w:sz w:val="22"/>
          <w:szCs w:val="22"/>
        </w:rPr>
      </w:pPr>
      <w:r w:rsidRPr="005D6B64">
        <w:rPr>
          <w:sz w:val="22"/>
          <w:szCs w:val="22"/>
        </w:rPr>
        <w:t xml:space="preserve">Renault Group et Nissan conserveraient une participation croisée de 15%, avec une obligation de conservation, ainsi qu'une obligation de </w:t>
      </w:r>
      <w:r w:rsidR="00BC1F29" w:rsidRPr="005E0162">
        <w:rPr>
          <w:sz w:val="22"/>
          <w:szCs w:val="22"/>
        </w:rPr>
        <w:t xml:space="preserve">plafonnement de </w:t>
      </w:r>
      <w:r w:rsidR="00BC1F29">
        <w:rPr>
          <w:sz w:val="22"/>
          <w:szCs w:val="22"/>
        </w:rPr>
        <w:t xml:space="preserve">leurs </w:t>
      </w:r>
      <w:r w:rsidR="00BC1F29" w:rsidRPr="005E0162">
        <w:rPr>
          <w:sz w:val="22"/>
          <w:szCs w:val="22"/>
        </w:rPr>
        <w:t>participation</w:t>
      </w:r>
      <w:r w:rsidR="00BC1F29">
        <w:rPr>
          <w:sz w:val="22"/>
          <w:szCs w:val="22"/>
        </w:rPr>
        <w:t>s</w:t>
      </w:r>
      <w:r w:rsidRPr="005D6B64">
        <w:rPr>
          <w:sz w:val="22"/>
          <w:szCs w:val="22"/>
        </w:rPr>
        <w:t>. Ils seraient tous deux en mesure d'exercer librement les droits de vote attachés à leur participation directe de 15%, avec un plafond de 15%.</w:t>
      </w:r>
    </w:p>
    <w:p w14:paraId="4F79D360" w14:textId="21661501" w:rsidR="005D6B64" w:rsidRPr="005D6B64" w:rsidRDefault="005D6B64" w:rsidP="005D6B64">
      <w:pPr>
        <w:pStyle w:val="Paragraphedeliste"/>
        <w:numPr>
          <w:ilvl w:val="0"/>
          <w:numId w:val="23"/>
        </w:numPr>
        <w:spacing w:line="276" w:lineRule="auto"/>
        <w:ind w:left="709" w:hanging="349"/>
        <w:jc w:val="both"/>
        <w:rPr>
          <w:sz w:val="22"/>
          <w:szCs w:val="22"/>
        </w:rPr>
      </w:pPr>
      <w:r w:rsidRPr="005D6B64">
        <w:rPr>
          <w:sz w:val="22"/>
          <w:szCs w:val="22"/>
        </w:rPr>
        <w:t>Renault Group transférerait 28,4% de</w:t>
      </w:r>
      <w:r w:rsidR="00DE5B73">
        <w:rPr>
          <w:sz w:val="22"/>
          <w:szCs w:val="22"/>
        </w:rPr>
        <w:t xml:space="preserve"> ses </w:t>
      </w:r>
      <w:r w:rsidRPr="005D6B64">
        <w:rPr>
          <w:sz w:val="22"/>
          <w:szCs w:val="22"/>
        </w:rPr>
        <w:t>actions</w:t>
      </w:r>
      <w:r w:rsidR="00DE5B73">
        <w:rPr>
          <w:sz w:val="22"/>
          <w:szCs w:val="22"/>
        </w:rPr>
        <w:t xml:space="preserve"> de</w:t>
      </w:r>
      <w:r w:rsidRPr="005D6B64">
        <w:rPr>
          <w:sz w:val="22"/>
          <w:szCs w:val="22"/>
        </w:rPr>
        <w:t xml:space="preserve"> Nissan dans une fiducie française, où les droits de vote seraient "neutralisés" pour la plupart des décisions, mais où les droits économiques (dividendes et produits de vente des actions) bénéficieraient toujours entièrement à Renault Group jusqu'à la vente de ces actions. </w:t>
      </w:r>
    </w:p>
    <w:p w14:paraId="0FAEEEA9" w14:textId="47C71EEA" w:rsidR="005D6B64" w:rsidRPr="000720CA" w:rsidRDefault="005D6B64" w:rsidP="000720CA">
      <w:pPr>
        <w:pStyle w:val="Paragraphedeliste"/>
        <w:numPr>
          <w:ilvl w:val="0"/>
          <w:numId w:val="23"/>
        </w:numPr>
        <w:spacing w:line="276" w:lineRule="auto"/>
        <w:ind w:left="709" w:hanging="349"/>
        <w:jc w:val="both"/>
        <w:rPr>
          <w:sz w:val="22"/>
          <w:szCs w:val="22"/>
        </w:rPr>
      </w:pPr>
      <w:r w:rsidRPr="005D6B64">
        <w:rPr>
          <w:sz w:val="22"/>
          <w:szCs w:val="22"/>
        </w:rPr>
        <w:t>Renault Group donnerait instruction au fiduciaire de vendre ces actions Nissan</w:t>
      </w:r>
      <w:r w:rsidR="008125E7">
        <w:rPr>
          <w:sz w:val="22"/>
          <w:szCs w:val="22"/>
        </w:rPr>
        <w:t xml:space="preserve"> </w:t>
      </w:r>
      <w:r w:rsidR="0057500A">
        <w:rPr>
          <w:sz w:val="22"/>
          <w:szCs w:val="22"/>
        </w:rPr>
        <w:t>si les</w:t>
      </w:r>
      <w:r w:rsidR="008125E7">
        <w:rPr>
          <w:sz w:val="22"/>
          <w:szCs w:val="22"/>
        </w:rPr>
        <w:t xml:space="preserve"> conditions </w:t>
      </w:r>
      <w:r w:rsidR="00325682">
        <w:rPr>
          <w:sz w:val="22"/>
          <w:szCs w:val="22"/>
        </w:rPr>
        <w:t xml:space="preserve">économiques </w:t>
      </w:r>
      <w:r w:rsidR="00D72D75">
        <w:rPr>
          <w:sz w:val="22"/>
          <w:szCs w:val="22"/>
        </w:rPr>
        <w:t xml:space="preserve">sont </w:t>
      </w:r>
      <w:r w:rsidR="00325682">
        <w:rPr>
          <w:sz w:val="22"/>
          <w:szCs w:val="22"/>
        </w:rPr>
        <w:t>raisonnables</w:t>
      </w:r>
      <w:r w:rsidRPr="005D6B64">
        <w:rPr>
          <w:sz w:val="22"/>
          <w:szCs w:val="22"/>
        </w:rPr>
        <w:t xml:space="preserve"> pour </w:t>
      </w:r>
      <w:r w:rsidR="00F31BC4">
        <w:rPr>
          <w:sz w:val="22"/>
          <w:szCs w:val="22"/>
        </w:rPr>
        <w:t>Renault Group</w:t>
      </w:r>
      <w:r w:rsidR="000720CA">
        <w:rPr>
          <w:sz w:val="22"/>
          <w:szCs w:val="22"/>
        </w:rPr>
        <w:t xml:space="preserve">, </w:t>
      </w:r>
      <w:r w:rsidRPr="000720CA">
        <w:rPr>
          <w:sz w:val="22"/>
          <w:szCs w:val="22"/>
        </w:rPr>
        <w:t xml:space="preserve">dans le cadre d'un processus </w:t>
      </w:r>
      <w:r w:rsidR="00EF0D68">
        <w:rPr>
          <w:sz w:val="22"/>
          <w:szCs w:val="22"/>
        </w:rPr>
        <w:t xml:space="preserve">organisé </w:t>
      </w:r>
      <w:r w:rsidRPr="000720CA">
        <w:rPr>
          <w:sz w:val="22"/>
          <w:szCs w:val="22"/>
        </w:rPr>
        <w:t xml:space="preserve">et ordonné, </w:t>
      </w:r>
      <w:proofErr w:type="gramStart"/>
      <w:r w:rsidRPr="000720CA">
        <w:rPr>
          <w:sz w:val="22"/>
          <w:szCs w:val="22"/>
        </w:rPr>
        <w:t>mais</w:t>
      </w:r>
      <w:proofErr w:type="gramEnd"/>
      <w:r w:rsidRPr="000720CA">
        <w:rPr>
          <w:sz w:val="22"/>
          <w:szCs w:val="22"/>
        </w:rPr>
        <w:t xml:space="preserve"> il n'aurait aucune obligation de vendre </w:t>
      </w:r>
      <w:r w:rsidR="00693F8E" w:rsidRPr="000720CA">
        <w:rPr>
          <w:sz w:val="22"/>
          <w:szCs w:val="22"/>
        </w:rPr>
        <w:t>ses</w:t>
      </w:r>
      <w:r w:rsidRPr="000720CA">
        <w:rPr>
          <w:sz w:val="22"/>
          <w:szCs w:val="22"/>
        </w:rPr>
        <w:t xml:space="preserve"> actions dans un délai spécifique</w:t>
      </w:r>
      <w:r w:rsidR="00D72D75" w:rsidRPr="000720CA">
        <w:rPr>
          <w:sz w:val="22"/>
          <w:szCs w:val="22"/>
        </w:rPr>
        <w:t xml:space="preserve"> prédéterminé.</w:t>
      </w:r>
    </w:p>
    <w:p w14:paraId="45067946" w14:textId="78751597" w:rsidR="005D6B64" w:rsidRPr="005D6B64" w:rsidRDefault="005D6B64" w:rsidP="005D6B64">
      <w:pPr>
        <w:pStyle w:val="Paragraphedeliste"/>
        <w:numPr>
          <w:ilvl w:val="0"/>
          <w:numId w:val="23"/>
        </w:numPr>
        <w:spacing w:line="276" w:lineRule="auto"/>
        <w:ind w:left="709" w:hanging="349"/>
        <w:jc w:val="both"/>
        <w:rPr>
          <w:sz w:val="22"/>
          <w:szCs w:val="22"/>
        </w:rPr>
      </w:pPr>
      <w:r w:rsidRPr="005D6B64">
        <w:rPr>
          <w:sz w:val="22"/>
          <w:szCs w:val="22"/>
        </w:rPr>
        <w:t xml:space="preserve">L’Alliance Operating </w:t>
      </w:r>
      <w:proofErr w:type="spellStart"/>
      <w:r w:rsidRPr="005D6B64">
        <w:rPr>
          <w:sz w:val="22"/>
          <w:szCs w:val="22"/>
        </w:rPr>
        <w:t>Board</w:t>
      </w:r>
      <w:proofErr w:type="spellEnd"/>
      <w:r w:rsidRPr="005D6B64">
        <w:rPr>
          <w:sz w:val="22"/>
          <w:szCs w:val="22"/>
        </w:rPr>
        <w:t xml:space="preserve"> resterait l</w:t>
      </w:r>
      <w:r w:rsidR="00F31BC4">
        <w:rPr>
          <w:sz w:val="22"/>
          <w:szCs w:val="22"/>
        </w:rPr>
        <w:t>’instance</w:t>
      </w:r>
      <w:r w:rsidRPr="005D6B64">
        <w:rPr>
          <w:sz w:val="22"/>
          <w:szCs w:val="22"/>
        </w:rPr>
        <w:t xml:space="preserve"> de coordination.</w:t>
      </w:r>
    </w:p>
    <w:p w14:paraId="24674EE5" w14:textId="77777777" w:rsidR="005D6B64" w:rsidRPr="005D6B64" w:rsidRDefault="005D6B64" w:rsidP="005D6B64">
      <w:pPr>
        <w:spacing w:line="276" w:lineRule="auto"/>
        <w:jc w:val="both"/>
        <w:rPr>
          <w:sz w:val="22"/>
          <w:szCs w:val="22"/>
        </w:rPr>
      </w:pPr>
    </w:p>
    <w:p w14:paraId="2A4A6037" w14:textId="77777777" w:rsidR="005D6B64" w:rsidRPr="005D6B64" w:rsidRDefault="005D6B64" w:rsidP="005D6B64">
      <w:pPr>
        <w:spacing w:line="276" w:lineRule="auto"/>
        <w:jc w:val="both"/>
        <w:rPr>
          <w:sz w:val="22"/>
          <w:szCs w:val="22"/>
        </w:rPr>
      </w:pPr>
      <w:r w:rsidRPr="005D6B64">
        <w:rPr>
          <w:sz w:val="22"/>
          <w:szCs w:val="22"/>
        </w:rPr>
        <w:t>Les accords sont en cours de finalisation et la transaction reste soumise à l'approbation des conseils d'administration de Renault Group et de Nissan.</w:t>
      </w:r>
    </w:p>
    <w:p w14:paraId="0259DA3A" w14:textId="77777777" w:rsidR="005D6B64" w:rsidRPr="005D6B64" w:rsidRDefault="005D6B64" w:rsidP="005D6B64">
      <w:pPr>
        <w:spacing w:line="276" w:lineRule="auto"/>
        <w:jc w:val="both"/>
        <w:rPr>
          <w:sz w:val="22"/>
          <w:szCs w:val="22"/>
        </w:rPr>
      </w:pPr>
    </w:p>
    <w:p w14:paraId="0144D9AB" w14:textId="31E31AA7" w:rsidR="007E68F9" w:rsidRDefault="005D6B64" w:rsidP="005D6B64">
      <w:pPr>
        <w:spacing w:line="276" w:lineRule="auto"/>
        <w:jc w:val="both"/>
        <w:rPr>
          <w:sz w:val="22"/>
          <w:szCs w:val="22"/>
        </w:rPr>
      </w:pPr>
      <w:r w:rsidRPr="005D6B64">
        <w:rPr>
          <w:sz w:val="22"/>
          <w:szCs w:val="22"/>
        </w:rPr>
        <w:t xml:space="preserve">Les membres de l'Alliance prévoient de faire une annonce immédiatement après l'approbation </w:t>
      </w:r>
      <w:r w:rsidR="00516729">
        <w:rPr>
          <w:sz w:val="22"/>
          <w:szCs w:val="22"/>
        </w:rPr>
        <w:t>par les</w:t>
      </w:r>
      <w:r w:rsidRPr="005D6B64">
        <w:rPr>
          <w:sz w:val="22"/>
          <w:szCs w:val="22"/>
        </w:rPr>
        <w:t xml:space="preserve"> conseils d'administration.</w:t>
      </w:r>
    </w:p>
    <w:p w14:paraId="46AD49B2" w14:textId="77777777" w:rsidR="005D6B64" w:rsidRPr="005D6B64" w:rsidRDefault="005D6B64" w:rsidP="005D6B64">
      <w:pPr>
        <w:spacing w:line="276" w:lineRule="auto"/>
        <w:jc w:val="both"/>
        <w:rPr>
          <w:sz w:val="22"/>
          <w:szCs w:val="22"/>
        </w:rPr>
      </w:pPr>
    </w:p>
    <w:p w14:paraId="3A18E6E8" w14:textId="685F2DC4" w:rsidR="00D27937" w:rsidRPr="005D6B64" w:rsidRDefault="00D27937" w:rsidP="00804814">
      <w:pPr>
        <w:spacing w:before="0" w:line="240" w:lineRule="auto"/>
        <w:jc w:val="both"/>
        <w:rPr>
          <w:b/>
          <w:szCs w:val="18"/>
        </w:rPr>
      </w:pPr>
    </w:p>
    <w:p w14:paraId="266BB017" w14:textId="0C4F2DD0" w:rsidR="00D27937" w:rsidRPr="005D6B64" w:rsidRDefault="00D27937" w:rsidP="00804814">
      <w:pPr>
        <w:spacing w:before="0" w:line="240" w:lineRule="auto"/>
        <w:jc w:val="both"/>
        <w:rPr>
          <w:b/>
          <w:szCs w:val="18"/>
        </w:rPr>
      </w:pPr>
    </w:p>
    <w:p w14:paraId="0D88442A" w14:textId="3FABC6E4" w:rsidR="00D27937" w:rsidRPr="005D6B64" w:rsidRDefault="00D27937" w:rsidP="00804814">
      <w:pPr>
        <w:spacing w:before="0" w:line="240" w:lineRule="auto"/>
        <w:jc w:val="both"/>
        <w:rPr>
          <w:b/>
          <w:szCs w:val="18"/>
        </w:rPr>
      </w:pPr>
    </w:p>
    <w:p w14:paraId="44845957" w14:textId="77777777" w:rsidR="00D27937" w:rsidRPr="005D6B64" w:rsidRDefault="00D27937" w:rsidP="00804814">
      <w:pPr>
        <w:spacing w:before="0" w:line="240" w:lineRule="auto"/>
        <w:jc w:val="both"/>
        <w:rPr>
          <w:b/>
          <w:szCs w:val="18"/>
        </w:rPr>
      </w:pPr>
    </w:p>
    <w:p w14:paraId="2444375A" w14:textId="77777777" w:rsidR="00E24BA2" w:rsidRDefault="00E24BA2" w:rsidP="00E24BA2">
      <w:pPr>
        <w:spacing w:before="0"/>
        <w:contextualSpacing/>
        <w:jc w:val="both"/>
        <w:rPr>
          <w:b/>
          <w:bCs/>
          <w:sz w:val="22"/>
          <w:u w:val="single"/>
        </w:rPr>
      </w:pPr>
      <w:r>
        <w:rPr>
          <w:b/>
          <w:bCs/>
        </w:rPr>
        <w:t xml:space="preserve">A propos de Renault Group </w:t>
      </w:r>
    </w:p>
    <w:p w14:paraId="6D9B9278" w14:textId="7673C7E2" w:rsidR="00CA789D" w:rsidRDefault="00CA789D" w:rsidP="00E24BA2">
      <w:pPr>
        <w:spacing w:before="0"/>
        <w:contextualSpacing/>
        <w:jc w:val="both"/>
      </w:pPr>
      <w:bookmarkStart w:id="0" w:name="_Hlk118469334"/>
      <w:r w:rsidRPr="00CA789D">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Mobilize – et propose des solutions de mobilités durables et innovantes à ses clients. Implanté dans plus de 130 pays, le Groupe a vendu 2,1 millions de véhicules en 2022.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1" w:history="1">
        <w:r w:rsidRPr="00C336C6">
          <w:rPr>
            <w:rStyle w:val="Lienhypertexte"/>
          </w:rPr>
          <w:t>https://www.renaultgroup.com/</w:t>
        </w:r>
      </w:hyperlink>
    </w:p>
    <w:p w14:paraId="722E3045" w14:textId="77777777" w:rsidR="00CA789D" w:rsidRDefault="00CA789D" w:rsidP="00E24BA2">
      <w:pPr>
        <w:spacing w:before="0"/>
        <w:contextualSpacing/>
        <w:jc w:val="both"/>
      </w:pPr>
    </w:p>
    <w:bookmarkEnd w:id="0"/>
    <w:p w14:paraId="404C5EAC" w14:textId="18D7A791" w:rsidR="00DC55ED" w:rsidRPr="00FF1C1A" w:rsidRDefault="00DC55ED" w:rsidP="00E24BA2">
      <w:pPr>
        <w:spacing w:before="0" w:line="240" w:lineRule="auto"/>
        <w:jc w:val="both"/>
        <w:rPr>
          <w:rFonts w:cs="Arial"/>
          <w:szCs w:val="18"/>
        </w:rPr>
      </w:pPr>
    </w:p>
    <w:sectPr w:rsidR="00DC55ED" w:rsidRPr="00FF1C1A" w:rsidSect="00F359D2">
      <w:headerReference w:type="default" r:id="rId12"/>
      <w:footerReference w:type="even" r:id="rId13"/>
      <w:footerReference w:type="default" r:id="rId14"/>
      <w:headerReference w:type="first" r:id="rId15"/>
      <w:footerReference w:type="first" r:id="rId16"/>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9BA4" w14:textId="77777777" w:rsidR="008A3039" w:rsidRDefault="008A3039" w:rsidP="00A602D8">
      <w:pPr>
        <w:spacing w:before="0" w:line="240" w:lineRule="auto"/>
      </w:pPr>
      <w:r>
        <w:separator/>
      </w:r>
    </w:p>
  </w:endnote>
  <w:endnote w:type="continuationSeparator" w:id="0">
    <w:p w14:paraId="492B468F" w14:textId="77777777" w:rsidR="008A3039" w:rsidRDefault="008A3039"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EB2" w14:textId="48286DB8" w:rsidR="00C84CE8" w:rsidRDefault="00C84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BF1E" w14:textId="77777777" w:rsidR="003C65BB" w:rsidRPr="000F5BDF" w:rsidRDefault="003C65BB" w:rsidP="003C65BB">
    <w:pPr>
      <w:pStyle w:val="Pieddepage"/>
    </w:pPr>
    <w:r w:rsidRPr="00C43D19">
      <w:rPr>
        <w:rFonts w:eastAsia="Times" w:cs="Arial"/>
        <w:b/>
        <w:bCs/>
        <w:noProof/>
        <w:sz w:val="20"/>
        <w:lang w:val="fr-BE"/>
      </w:rPr>
      <w:t>Renault Belgique Luxembourg – Directi</w:t>
    </w:r>
    <w:r>
      <w:rPr>
        <w:rFonts w:eastAsia="Times" w:cs="Arial"/>
        <w:b/>
        <w:bCs/>
        <w:noProof/>
        <w:sz w:val="20"/>
        <w:lang w:val="fr-BE"/>
      </w:rPr>
      <w:t>on</w:t>
    </w:r>
    <w:r w:rsidRPr="00C43D19">
      <w:rPr>
        <w:rFonts w:eastAsia="Times" w:cs="Arial"/>
        <w:b/>
        <w:bCs/>
        <w:noProof/>
        <w:sz w:val="20"/>
        <w:lang w:val="fr-BE"/>
      </w:rPr>
      <w:t xml:space="preserve"> Communicatio</w:t>
    </w:r>
    <w:r>
      <w:rPr>
        <w:rFonts w:eastAsia="Times" w:cs="Arial"/>
        <w:b/>
        <w:bCs/>
        <w:noProof/>
        <w:sz w:val="20"/>
        <w:lang w:val="fr-BE"/>
      </w:rPr>
      <w:t>n</w:t>
    </w:r>
    <w:r w:rsidRPr="00C43D19">
      <w:rPr>
        <w:rFonts w:eastAsia="Times" w:cs="Arial"/>
        <w:b/>
        <w:bCs/>
        <w:noProof/>
        <w:sz w:val="20"/>
        <w:lang w:val="fr-BE"/>
      </w:rPr>
      <w:br/>
    </w:r>
    <w:r>
      <w:rPr>
        <w:rFonts w:eastAsia="Times" w:cs="Arial"/>
        <w:bCs/>
        <w:noProof/>
        <w:sz w:val="20"/>
        <w:lang w:val="fr-BE"/>
      </w:rPr>
      <w:t xml:space="preserve">Avenue </w:t>
    </w:r>
    <w:r w:rsidRPr="00C43D19">
      <w:rPr>
        <w:rFonts w:eastAsia="Times" w:cs="Arial"/>
        <w:bCs/>
        <w:noProof/>
        <w:sz w:val="20"/>
        <w:lang w:val="fr-BE"/>
      </w:rPr>
      <w:t>Mozart</w:t>
    </w:r>
    <w:r>
      <w:rPr>
        <w:rFonts w:eastAsia="Times" w:cs="Arial"/>
        <w:bCs/>
        <w:noProof/>
        <w:sz w:val="20"/>
        <w:lang w:val="fr-BE"/>
      </w:rPr>
      <w:t xml:space="preserve"> </w:t>
    </w:r>
    <w:r w:rsidRPr="00C43D19">
      <w:rPr>
        <w:rFonts w:eastAsia="Times" w:cs="Arial"/>
        <w:bCs/>
        <w:noProof/>
        <w:sz w:val="20"/>
        <w:lang w:val="fr-BE"/>
      </w:rPr>
      <w:t>20, 1620 Drogenbos</w:t>
    </w:r>
    <w:r w:rsidRPr="00C43D19">
      <w:rPr>
        <w:rFonts w:eastAsia="Times" w:cs="Arial"/>
        <w:b/>
        <w:bCs/>
        <w:noProof/>
        <w:sz w:val="20"/>
        <w:lang w:val="fr-BE"/>
      </w:rPr>
      <w:br/>
    </w:r>
    <w:r w:rsidRPr="00C43D19">
      <w:rPr>
        <w:rFonts w:eastAsia="Times" w:cs="Arial"/>
        <w:noProof/>
        <w:sz w:val="20"/>
        <w:lang w:val="fr-BE"/>
      </w:rPr>
      <w:t>Tel.: + 32 (0)2 334 78 51</w:t>
    </w:r>
    <w:r w:rsidRPr="00C43D19">
      <w:rPr>
        <w:rFonts w:eastAsia="Times" w:cs="Arial"/>
        <w:b/>
        <w:bCs/>
        <w:noProof/>
        <w:sz w:val="20"/>
        <w:lang w:val="fr-BE"/>
      </w:rPr>
      <w:br/>
    </w:r>
    <w:r w:rsidRPr="000F5BDF">
      <w:rPr>
        <w:rFonts w:eastAsia="Times" w:cs="Arial"/>
        <w:noProof/>
        <w:sz w:val="20"/>
        <w:lang w:val="pt-BR"/>
      </w:rPr>
      <w:t xml:space="preserve">Site : </w:t>
    </w:r>
    <w:hyperlink r:id="rId1" w:history="1">
      <w:r w:rsidRPr="000F5BDF">
        <w:rPr>
          <w:rFonts w:eastAsia="Times" w:cs="Arial"/>
          <w:noProof/>
          <w:color w:val="0000FF"/>
          <w:sz w:val="20"/>
          <w:u w:val="single"/>
          <w:lang w:val="pt-BR"/>
        </w:rPr>
        <w:t>www.renault.</w:t>
      </w:r>
      <w:r w:rsidRPr="00C43D19">
        <w:rPr>
          <w:rFonts w:eastAsia="Times" w:cs="Arial"/>
          <w:noProof/>
          <w:color w:val="0000FF"/>
          <w:sz w:val="20"/>
          <w:u w:val="single"/>
          <w:lang w:val="fr-BE"/>
        </w:rPr>
        <w:t>be</w:t>
      </w:r>
    </w:hyperlink>
    <w:r w:rsidRPr="000F5BDF">
      <w:rPr>
        <w:rFonts w:eastAsia="Times" w:cs="Arial"/>
        <w:noProof/>
        <w:sz w:val="20"/>
        <w:lang w:val="pt-BR"/>
      </w:rPr>
      <w:t xml:space="preserve"> </w:t>
    </w:r>
    <w:r w:rsidRPr="00D20DAC">
      <w:rPr>
        <w:rFonts w:eastAsia="Times" w:cs="Arial"/>
        <w:noProof/>
        <w:sz w:val="20"/>
        <w:lang w:val="pt-BR"/>
      </w:rPr>
      <w:t xml:space="preserve">et </w:t>
    </w:r>
    <w:r w:rsidRPr="00D20DAC">
      <w:rPr>
        <w:rFonts w:eastAsia="Calibri" w:cs="Arial"/>
        <w:noProof/>
        <w:sz w:val="20"/>
      </w:rPr>
      <w:t xml:space="preserve"> </w:t>
    </w:r>
    <w:hyperlink r:id="rId2" w:history="1">
      <w:r w:rsidRPr="00B908C3">
        <w:rPr>
          <w:rStyle w:val="Lienhypertexte"/>
          <w:rFonts w:eastAsia="Times New Roman" w:cs="Arial"/>
          <w:noProof/>
          <w:sz w:val="20"/>
          <w:lang w:val="fr-BE" w:eastAsia="fr-BE"/>
        </w:rPr>
        <w:t>https://be.media.renaultgroup.com/</w:t>
      </w:r>
    </w:hyperlink>
  </w:p>
  <w:p w14:paraId="08098FD3" w14:textId="73E9FC51" w:rsidR="003C65BB" w:rsidRDefault="003C65BB">
    <w:pPr>
      <w:pStyle w:val="Pieddepage"/>
    </w:pPr>
  </w:p>
  <w:p w14:paraId="1ED112E5" w14:textId="77777777" w:rsidR="007D3970" w:rsidRPr="007D3970" w:rsidRDefault="007D3970" w:rsidP="007D3970">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62EA0E03" w:rsidR="007D3970" w:rsidRPr="007D3970" w:rsidRDefault="007D3970">
          <w:pPr>
            <w:pStyle w:val="Pieddepage"/>
            <w:rPr>
              <w:b/>
              <w:sz w:val="16"/>
              <w:szCs w:val="16"/>
            </w:rPr>
          </w:pPr>
          <w:r w:rsidRPr="007D3970">
            <w:rPr>
              <w:b/>
              <w:sz w:val="16"/>
              <w:szCs w:val="16"/>
            </w:rPr>
            <w:t>RENAULT PRESS</w:t>
          </w:r>
        </w:p>
      </w:tc>
      <w:tc>
        <w:tcPr>
          <w:tcW w:w="8079" w:type="dxa"/>
        </w:tcPr>
        <w:p w14:paraId="0856969A" w14:textId="77777777" w:rsidR="007D3970" w:rsidRPr="001814C1" w:rsidRDefault="007D3970" w:rsidP="007D3970">
          <w:pPr>
            <w:pStyle w:val="Pieddepage"/>
            <w:rPr>
              <w:lang w:val="en-US"/>
            </w:rPr>
          </w:pPr>
          <w:r w:rsidRPr="001814C1">
            <w:rPr>
              <w:lang w:val="en-US"/>
            </w:rPr>
            <w:t>+33 0 00 00 00</w:t>
          </w:r>
        </w:p>
        <w:p w14:paraId="7CDC4ABD" w14:textId="77777777" w:rsidR="007D3970" w:rsidRPr="001814C1" w:rsidRDefault="007D3970" w:rsidP="007D3970">
          <w:pPr>
            <w:pStyle w:val="Pieddepage"/>
            <w:rPr>
              <w:lang w:val="en-US"/>
            </w:rPr>
          </w:pPr>
          <w:r w:rsidRPr="001814C1">
            <w:rPr>
              <w:lang w:val="en-US"/>
            </w:rPr>
            <w:t xml:space="preserve">media.renault@renault.fr </w:t>
          </w:r>
        </w:p>
        <w:p w14:paraId="2A2C28BA" w14:textId="77777777" w:rsidR="007D3970" w:rsidRPr="001814C1" w:rsidRDefault="007D3970" w:rsidP="007D3970">
          <w:pPr>
            <w:pStyle w:val="Pieddepage"/>
            <w:rPr>
              <w:lang w:val="en-US"/>
            </w:rPr>
          </w:pPr>
          <w:r w:rsidRPr="001814C1">
            <w:rPr>
              <w:lang w:val="en-US"/>
            </w:rPr>
            <w:t>mediarenault.com</w:t>
          </w:r>
        </w:p>
      </w:tc>
      <w:tc>
        <w:tcPr>
          <w:tcW w:w="555" w:type="dxa"/>
        </w:tcPr>
        <w:p w14:paraId="7B2328FB"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noProof/>
            </w:rPr>
            <w:t>1</w:t>
          </w:r>
          <w:r w:rsidRPr="007D3970">
            <w:rPr>
              <w:rStyle w:val="Numrodepage"/>
              <w:b/>
            </w:rPr>
            <w:fldChar w:fldCharType="end"/>
          </w:r>
        </w:p>
      </w:tc>
    </w:tr>
  </w:tbl>
  <w:p w14:paraId="787994F5"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F8F8" w14:textId="77777777" w:rsidR="008A3039" w:rsidRDefault="008A3039" w:rsidP="00A602D8">
      <w:pPr>
        <w:spacing w:before="0" w:line="240" w:lineRule="auto"/>
      </w:pPr>
      <w:r>
        <w:separator/>
      </w:r>
    </w:p>
  </w:footnote>
  <w:footnote w:type="continuationSeparator" w:id="0">
    <w:p w14:paraId="2FADC99C" w14:textId="77777777" w:rsidR="008A3039" w:rsidRDefault="008A3039"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En-tt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En-tt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653147"/>
    <w:multiLevelType w:val="hybridMultilevel"/>
    <w:tmpl w:val="D1625980"/>
    <w:lvl w:ilvl="0" w:tplc="040C000D">
      <w:start w:val="1"/>
      <w:numFmt w:val="bullet"/>
      <w:lvlText w:val=""/>
      <w:lvlJc w:val="left"/>
      <w:pPr>
        <w:ind w:left="1065" w:hanging="705"/>
      </w:pPr>
      <w:rPr>
        <w:rFonts w:ascii="Wingdings" w:hAnsi="Wingdings" w:hint="default"/>
      </w:rPr>
    </w:lvl>
    <w:lvl w:ilvl="1" w:tplc="3D8C7A94">
      <w:numFmt w:val="bullet"/>
      <w:lvlText w:val="−"/>
      <w:lvlJc w:val="left"/>
      <w:pPr>
        <w:ind w:left="1785" w:hanging="705"/>
      </w:pPr>
      <w:rPr>
        <w:rFonts w:ascii="Renault Group" w:eastAsiaTheme="minorHAnsi" w:hAnsi="Renault Group"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4C0CA0"/>
    <w:multiLevelType w:val="hybridMultilevel"/>
    <w:tmpl w:val="1F963438"/>
    <w:lvl w:ilvl="0" w:tplc="017678DC">
      <w:numFmt w:val="bullet"/>
      <w:lvlText w:val="−"/>
      <w:lvlJc w:val="left"/>
      <w:pPr>
        <w:ind w:left="1065" w:hanging="705"/>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5071E3"/>
    <w:multiLevelType w:val="hybridMultilevel"/>
    <w:tmpl w:val="DE98F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035F5F"/>
    <w:multiLevelType w:val="hybridMultilevel"/>
    <w:tmpl w:val="1EDAE5B6"/>
    <w:lvl w:ilvl="0" w:tplc="017678DC">
      <w:numFmt w:val="bullet"/>
      <w:lvlText w:val="−"/>
      <w:lvlJc w:val="left"/>
      <w:pPr>
        <w:ind w:left="1065" w:hanging="705"/>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7"/>
  </w:num>
  <w:num w:numId="14">
    <w:abstractNumId w:val="20"/>
  </w:num>
  <w:num w:numId="15">
    <w:abstractNumId w:val="21"/>
  </w:num>
  <w:num w:numId="16">
    <w:abstractNumId w:val="11"/>
  </w:num>
  <w:num w:numId="17">
    <w:abstractNumId w:val="15"/>
  </w:num>
  <w:num w:numId="18">
    <w:abstractNumId w:val="14"/>
  </w:num>
  <w:num w:numId="19">
    <w:abstractNumId w:val="10"/>
  </w:num>
  <w:num w:numId="20">
    <w:abstractNumId w:val="16"/>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0739E"/>
    <w:rsid w:val="0002683C"/>
    <w:rsid w:val="00031C67"/>
    <w:rsid w:val="000501F2"/>
    <w:rsid w:val="00057DD0"/>
    <w:rsid w:val="000720CA"/>
    <w:rsid w:val="00087566"/>
    <w:rsid w:val="00097A5A"/>
    <w:rsid w:val="000B0967"/>
    <w:rsid w:val="000C1633"/>
    <w:rsid w:val="000C321F"/>
    <w:rsid w:val="000D49A5"/>
    <w:rsid w:val="000D7435"/>
    <w:rsid w:val="001036CD"/>
    <w:rsid w:val="001230D0"/>
    <w:rsid w:val="00133E32"/>
    <w:rsid w:val="00156736"/>
    <w:rsid w:val="00170D64"/>
    <w:rsid w:val="00172806"/>
    <w:rsid w:val="001814C1"/>
    <w:rsid w:val="00181AFE"/>
    <w:rsid w:val="001B591C"/>
    <w:rsid w:val="001B69D4"/>
    <w:rsid w:val="001C21F5"/>
    <w:rsid w:val="001D11A7"/>
    <w:rsid w:val="001F05FE"/>
    <w:rsid w:val="001F1509"/>
    <w:rsid w:val="001F20D4"/>
    <w:rsid w:val="00207C98"/>
    <w:rsid w:val="00217EEE"/>
    <w:rsid w:val="00233353"/>
    <w:rsid w:val="00241D17"/>
    <w:rsid w:val="002464F4"/>
    <w:rsid w:val="002476A7"/>
    <w:rsid w:val="002836DD"/>
    <w:rsid w:val="00293E0C"/>
    <w:rsid w:val="00294FB9"/>
    <w:rsid w:val="002A1BB1"/>
    <w:rsid w:val="002B7303"/>
    <w:rsid w:val="002B7340"/>
    <w:rsid w:val="002C508D"/>
    <w:rsid w:val="002C5B84"/>
    <w:rsid w:val="002D407F"/>
    <w:rsid w:val="002E2E49"/>
    <w:rsid w:val="00325682"/>
    <w:rsid w:val="00325F79"/>
    <w:rsid w:val="0034053C"/>
    <w:rsid w:val="00351C76"/>
    <w:rsid w:val="00357212"/>
    <w:rsid w:val="003864AD"/>
    <w:rsid w:val="003A1145"/>
    <w:rsid w:val="003B367C"/>
    <w:rsid w:val="003C65BB"/>
    <w:rsid w:val="003D4D16"/>
    <w:rsid w:val="003E68CC"/>
    <w:rsid w:val="003F7765"/>
    <w:rsid w:val="004022B4"/>
    <w:rsid w:val="004151C7"/>
    <w:rsid w:val="00425677"/>
    <w:rsid w:val="00433EDD"/>
    <w:rsid w:val="0044219E"/>
    <w:rsid w:val="00445BF1"/>
    <w:rsid w:val="004511AA"/>
    <w:rsid w:val="0045216F"/>
    <w:rsid w:val="004566FC"/>
    <w:rsid w:val="0046176B"/>
    <w:rsid w:val="004B08AC"/>
    <w:rsid w:val="004B761B"/>
    <w:rsid w:val="004F3B14"/>
    <w:rsid w:val="00516729"/>
    <w:rsid w:val="005176D9"/>
    <w:rsid w:val="00520E8D"/>
    <w:rsid w:val="005322CB"/>
    <w:rsid w:val="00544345"/>
    <w:rsid w:val="00545DD0"/>
    <w:rsid w:val="00547CA1"/>
    <w:rsid w:val="00557380"/>
    <w:rsid w:val="005732EA"/>
    <w:rsid w:val="00573F62"/>
    <w:rsid w:val="0057500A"/>
    <w:rsid w:val="005A68B7"/>
    <w:rsid w:val="005B10DA"/>
    <w:rsid w:val="005B438E"/>
    <w:rsid w:val="005C775F"/>
    <w:rsid w:val="005D6B64"/>
    <w:rsid w:val="005E57D2"/>
    <w:rsid w:val="0061682B"/>
    <w:rsid w:val="00617EE4"/>
    <w:rsid w:val="0063379F"/>
    <w:rsid w:val="00637C9C"/>
    <w:rsid w:val="00642390"/>
    <w:rsid w:val="00646166"/>
    <w:rsid w:val="00655A10"/>
    <w:rsid w:val="00682310"/>
    <w:rsid w:val="00682D2F"/>
    <w:rsid w:val="006913E3"/>
    <w:rsid w:val="00693F8E"/>
    <w:rsid w:val="006B5C7E"/>
    <w:rsid w:val="006D64AE"/>
    <w:rsid w:val="006E27BF"/>
    <w:rsid w:val="006F3643"/>
    <w:rsid w:val="006F3E46"/>
    <w:rsid w:val="00705F82"/>
    <w:rsid w:val="0072225B"/>
    <w:rsid w:val="00723E39"/>
    <w:rsid w:val="00741983"/>
    <w:rsid w:val="007450B8"/>
    <w:rsid w:val="00746001"/>
    <w:rsid w:val="00767155"/>
    <w:rsid w:val="00767B6D"/>
    <w:rsid w:val="007A46E2"/>
    <w:rsid w:val="007C3991"/>
    <w:rsid w:val="007C61B0"/>
    <w:rsid w:val="007D3970"/>
    <w:rsid w:val="007E317D"/>
    <w:rsid w:val="007E4F11"/>
    <w:rsid w:val="007E68F9"/>
    <w:rsid w:val="0080313B"/>
    <w:rsid w:val="00804814"/>
    <w:rsid w:val="00805FAA"/>
    <w:rsid w:val="008124BD"/>
    <w:rsid w:val="008125E7"/>
    <w:rsid w:val="00814CBC"/>
    <w:rsid w:val="00815B14"/>
    <w:rsid w:val="0081689C"/>
    <w:rsid w:val="00826A82"/>
    <w:rsid w:val="00833877"/>
    <w:rsid w:val="008430E7"/>
    <w:rsid w:val="00844956"/>
    <w:rsid w:val="00872FC1"/>
    <w:rsid w:val="00877117"/>
    <w:rsid w:val="008A3039"/>
    <w:rsid w:val="008B37EF"/>
    <w:rsid w:val="008C3A08"/>
    <w:rsid w:val="008C70A8"/>
    <w:rsid w:val="008C7E44"/>
    <w:rsid w:val="008E2A6E"/>
    <w:rsid w:val="008F0F07"/>
    <w:rsid w:val="008F2A13"/>
    <w:rsid w:val="008F68B0"/>
    <w:rsid w:val="009278AB"/>
    <w:rsid w:val="00961657"/>
    <w:rsid w:val="00966C87"/>
    <w:rsid w:val="0096767F"/>
    <w:rsid w:val="00983616"/>
    <w:rsid w:val="00986599"/>
    <w:rsid w:val="009968C5"/>
    <w:rsid w:val="009A23AB"/>
    <w:rsid w:val="009D180E"/>
    <w:rsid w:val="009E5C5E"/>
    <w:rsid w:val="00A012DB"/>
    <w:rsid w:val="00A02FD5"/>
    <w:rsid w:val="00A10CE9"/>
    <w:rsid w:val="00A40718"/>
    <w:rsid w:val="00A602D8"/>
    <w:rsid w:val="00A70CB0"/>
    <w:rsid w:val="00A86EC8"/>
    <w:rsid w:val="00A90F53"/>
    <w:rsid w:val="00AC4842"/>
    <w:rsid w:val="00AE71AA"/>
    <w:rsid w:val="00B07127"/>
    <w:rsid w:val="00B14767"/>
    <w:rsid w:val="00B322B1"/>
    <w:rsid w:val="00B32F4C"/>
    <w:rsid w:val="00B342A1"/>
    <w:rsid w:val="00B556B5"/>
    <w:rsid w:val="00B64F18"/>
    <w:rsid w:val="00B80BA9"/>
    <w:rsid w:val="00B92FB1"/>
    <w:rsid w:val="00BB60E7"/>
    <w:rsid w:val="00BC1F29"/>
    <w:rsid w:val="00BE6126"/>
    <w:rsid w:val="00C07755"/>
    <w:rsid w:val="00C10E75"/>
    <w:rsid w:val="00C21B90"/>
    <w:rsid w:val="00C31F14"/>
    <w:rsid w:val="00C37FBD"/>
    <w:rsid w:val="00C64900"/>
    <w:rsid w:val="00C76C9C"/>
    <w:rsid w:val="00C8105C"/>
    <w:rsid w:val="00C84CE8"/>
    <w:rsid w:val="00C95AAF"/>
    <w:rsid w:val="00CA5361"/>
    <w:rsid w:val="00CA789D"/>
    <w:rsid w:val="00CB1F1A"/>
    <w:rsid w:val="00CB3CA4"/>
    <w:rsid w:val="00CB4F80"/>
    <w:rsid w:val="00CD123A"/>
    <w:rsid w:val="00CD5E6B"/>
    <w:rsid w:val="00CF260D"/>
    <w:rsid w:val="00CF6B83"/>
    <w:rsid w:val="00D04052"/>
    <w:rsid w:val="00D20D73"/>
    <w:rsid w:val="00D23DBB"/>
    <w:rsid w:val="00D265D9"/>
    <w:rsid w:val="00D27937"/>
    <w:rsid w:val="00D5236F"/>
    <w:rsid w:val="00D54C2A"/>
    <w:rsid w:val="00D72D75"/>
    <w:rsid w:val="00D831A1"/>
    <w:rsid w:val="00D83FE9"/>
    <w:rsid w:val="00DA0554"/>
    <w:rsid w:val="00DA18FB"/>
    <w:rsid w:val="00DA27E1"/>
    <w:rsid w:val="00DC55ED"/>
    <w:rsid w:val="00DC7837"/>
    <w:rsid w:val="00DC7D93"/>
    <w:rsid w:val="00DE1443"/>
    <w:rsid w:val="00DE5B73"/>
    <w:rsid w:val="00DE72B9"/>
    <w:rsid w:val="00E1378E"/>
    <w:rsid w:val="00E24BA2"/>
    <w:rsid w:val="00E27DE3"/>
    <w:rsid w:val="00E30FC0"/>
    <w:rsid w:val="00E35CC3"/>
    <w:rsid w:val="00E62424"/>
    <w:rsid w:val="00E66807"/>
    <w:rsid w:val="00E70202"/>
    <w:rsid w:val="00E81176"/>
    <w:rsid w:val="00E87330"/>
    <w:rsid w:val="00E87860"/>
    <w:rsid w:val="00EA248C"/>
    <w:rsid w:val="00EB3F62"/>
    <w:rsid w:val="00EF0D68"/>
    <w:rsid w:val="00EF289F"/>
    <w:rsid w:val="00F14094"/>
    <w:rsid w:val="00F22D0C"/>
    <w:rsid w:val="00F2694F"/>
    <w:rsid w:val="00F30145"/>
    <w:rsid w:val="00F31BC4"/>
    <w:rsid w:val="00F359D2"/>
    <w:rsid w:val="00F46A88"/>
    <w:rsid w:val="00F5284E"/>
    <w:rsid w:val="00F97755"/>
    <w:rsid w:val="00FA062C"/>
    <w:rsid w:val="00FC0E88"/>
    <w:rsid w:val="00FD6CFC"/>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tionnonrsolue">
    <w:name w:val="Unresolved Mention"/>
    <w:basedOn w:val="Policepardfaut"/>
    <w:uiPriority w:val="99"/>
    <w:semiHidden/>
    <w:unhideWhenUsed/>
    <w:rsid w:val="0046176B"/>
    <w:rPr>
      <w:color w:val="605E5C"/>
      <w:shd w:val="clear" w:color="auto" w:fill="E1DFDD"/>
    </w:rPr>
  </w:style>
  <w:style w:type="paragraph" w:styleId="Paragraphedeliste">
    <w:name w:val="List Paragraph"/>
    <w:basedOn w:val="Normal"/>
    <w:uiPriority w:val="34"/>
    <w:qFormat/>
    <w:rsid w:val="00C7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348485151">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666a4d-adfb-4548-aafa-b915ba9bdc4d">
      <Value>522</Value>
      <Value>21</Value>
    </TaxCatchAll>
    <lcf76f155ced4ddcb4097134ff3c332f xmlns="a2aacc92-9e0b-405e-9f2d-aed7a7f01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F63190-9465-4AD4-A99D-C1CC7DF0FCA2}"/>
</file>

<file path=customXml/itemProps2.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E3CD05C7-2860-46B9-9DF2-91D90B734193}">
  <ds:schemaRefs>
    <ds:schemaRef ds:uri="74072326-7330-44e7-99b3-bed9ca94975f"/>
    <ds:schemaRef ds:uri="http://schemas.microsoft.com/office/2006/documentManagement/types"/>
    <ds:schemaRef ds:uri="http://schemas.openxmlformats.org/package/2006/metadata/core-properties"/>
    <ds:schemaRef ds:uri="http://purl.org/dc/elements/1.1/"/>
    <ds:schemaRef ds:uri="44f350f3-283d-443f-a32d-3bc3c81de65c"/>
    <ds:schemaRef ds:uri="http://schemas.microsoft.com/office/infopath/2007/PartnerControls"/>
    <ds:schemaRef ds:uri="http://schemas.microsoft.com/office/2006/metadata/properties"/>
    <ds:schemaRef ds:uri="http://schemas.microsoft.com/sharepoint/v4"/>
    <ds:schemaRef ds:uri="http://purl.org/dc/terms/"/>
    <ds:schemaRef ds:uri="http://schemas.microsoft.com/sharepoint/v3"/>
    <ds:schemaRef ds:uri="bf88de67-f58e-457f-b92b-9cc9802d4fbd"/>
    <ds:schemaRef ds:uri="http://www.w3.org/XML/1998/namespace"/>
    <ds:schemaRef ds:uri="http://purl.org/dc/dcmitype/"/>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Renault Group</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BARTHOLOME Regine</cp:lastModifiedBy>
  <cp:revision>3</cp:revision>
  <cp:lastPrinted>2023-01-30T06:59:00Z</cp:lastPrinted>
  <dcterms:created xsi:type="dcterms:W3CDTF">2023-01-30T06:58:00Z</dcterms:created>
  <dcterms:modified xsi:type="dcterms:W3CDTF">2023-01-30T06:59:00Z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SetDate">
    <vt:lpwstr>2023-01-28T16:30:24Z</vt:lpwstr>
  </property>
  <property fmtid="{D5CDD505-2E9C-101B-9397-08002B2CF9AE}" pid="20" name="MSIP_Label_fd1c0902-ed92-4fed-896d-2e7725de02d4_Name">
    <vt:lpwstr>Anyone (not protected)</vt:lpwstr>
  </property>
  <property fmtid="{D5CDD505-2E9C-101B-9397-08002B2CF9AE}" pid="21" name="MSIP_Label_fd1c0902-ed92-4fed-896d-2e7725de02d4_ActionId">
    <vt:lpwstr>0ea7a0c9-9143-4b57-93fb-2961ff31e01a</vt:lpwstr>
  </property>
  <property fmtid="{D5CDD505-2E9C-101B-9397-08002B2CF9AE}" pid="22" name="ClassificationContentMarkingFooterShapeIds">
    <vt:lpwstr>6</vt:lpwstr>
  </property>
  <property fmtid="{D5CDD505-2E9C-101B-9397-08002B2CF9AE}" pid="23" name="ClassificationContentMarkingFooterFontProps">
    <vt:lpwstr>#000000,10,Arial</vt:lpwstr>
  </property>
  <property fmtid="{D5CDD505-2E9C-101B-9397-08002B2CF9AE}" pid="24" name="ClassificationContentMarkingFooterText">
    <vt:lpwstr>Confidential C</vt:lpwstr>
  </property>
  <property fmtid="{D5CDD505-2E9C-101B-9397-08002B2CF9AE}" pid="25" name="MSIP_Label_7f30fc12-c89a-4829-a476-5bf9e2086332_Enabled">
    <vt:lpwstr>true</vt:lpwstr>
  </property>
  <property fmtid="{D5CDD505-2E9C-101B-9397-08002B2CF9AE}" pid="26" name="MSIP_Label_7f30fc12-c89a-4829-a476-5bf9e2086332_SetDate">
    <vt:lpwstr>2023-01-30T06:58:51Z</vt:lpwstr>
  </property>
  <property fmtid="{D5CDD505-2E9C-101B-9397-08002B2CF9AE}" pid="27" name="MSIP_Label_7f30fc12-c89a-4829-a476-5bf9e2086332_Method">
    <vt:lpwstr>Privileged</vt:lpwstr>
  </property>
  <property fmtid="{D5CDD505-2E9C-101B-9397-08002B2CF9AE}" pid="28" name="MSIP_Label_7f30fc12-c89a-4829-a476-5bf9e2086332_Name">
    <vt:lpwstr>Not protected (Anyone)_0</vt:lpwstr>
  </property>
  <property fmtid="{D5CDD505-2E9C-101B-9397-08002B2CF9AE}" pid="29" name="MSIP_Label_7f30fc12-c89a-4829-a476-5bf9e2086332_SiteId">
    <vt:lpwstr>d6b0bbee-7cd9-4d60-bce6-4a67b543e2ae</vt:lpwstr>
  </property>
  <property fmtid="{D5CDD505-2E9C-101B-9397-08002B2CF9AE}" pid="30" name="MSIP_Label_7f30fc12-c89a-4829-a476-5bf9e2086332_ActionId">
    <vt:lpwstr>0e5daaee-286f-422c-9aed-674c97ef93f3</vt:lpwstr>
  </property>
  <property fmtid="{D5CDD505-2E9C-101B-9397-08002B2CF9AE}" pid="31" name="MSIP_Label_7f30fc12-c89a-4829-a476-5bf9e2086332_ContentBits">
    <vt:lpwstr>0</vt:lpwstr>
  </property>
</Properties>
</file>